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958D" w14:textId="77777777" w:rsidR="005F3EAE" w:rsidRPr="00817FA8" w:rsidRDefault="005F3EAE" w:rsidP="008F12C8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54F9B8CC" w14:textId="77777777" w:rsidR="005F6A70" w:rsidRDefault="005F6A70" w:rsidP="004B5158">
      <w:pPr>
        <w:pStyle w:val="Akapitzlist"/>
        <w:spacing w:after="120"/>
        <w:ind w:left="0"/>
        <w:contextualSpacing w:val="0"/>
        <w:rPr>
          <w:b/>
        </w:rPr>
      </w:pPr>
    </w:p>
    <w:p w14:paraId="736A8294" w14:textId="4FC9B5E0" w:rsidR="005F3EAE" w:rsidRPr="00F854F4" w:rsidRDefault="00A543DB" w:rsidP="008F12C8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F854F4">
        <w:rPr>
          <w:b/>
        </w:rPr>
        <w:t xml:space="preserve">Karta Produktu </w:t>
      </w:r>
      <w:r w:rsidR="00BD38A0">
        <w:rPr>
          <w:b/>
        </w:rPr>
        <w:t>P</w:t>
      </w:r>
      <w:r w:rsidR="005F3EAE" w:rsidRPr="00F854F4">
        <w:rPr>
          <w:b/>
        </w:rPr>
        <w:t>ożyczka</w:t>
      </w:r>
      <w:r w:rsidR="00BD38A0">
        <w:rPr>
          <w:b/>
        </w:rPr>
        <w:t xml:space="preserve"> </w:t>
      </w:r>
      <w:r w:rsidR="00C550F1">
        <w:rPr>
          <w:b/>
        </w:rPr>
        <w:t xml:space="preserve">na Inwestycje Rozwojowe </w:t>
      </w:r>
    </w:p>
    <w:p w14:paraId="58204AAB" w14:textId="77777777" w:rsidR="005F3EAE" w:rsidRPr="00F854F4" w:rsidRDefault="005F3EAE" w:rsidP="008F12C8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0853233A" w:rsidR="007678C3" w:rsidRPr="00F854F4" w:rsidRDefault="007678C3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Podstawowe parametry </w:t>
      </w:r>
      <w:r w:rsidR="00BD38A0">
        <w:rPr>
          <w:b/>
        </w:rPr>
        <w:t xml:space="preserve">Pożyczki </w:t>
      </w:r>
      <w:r w:rsidR="00B27CBD">
        <w:rPr>
          <w:b/>
        </w:rPr>
        <w:t xml:space="preserve">na Inwestycje </w:t>
      </w:r>
      <w:r w:rsidR="00BD38A0">
        <w:rPr>
          <w:b/>
        </w:rPr>
        <w:t>Rozwojowe</w:t>
      </w:r>
    </w:p>
    <w:p w14:paraId="4E19050D" w14:textId="4B4CC648" w:rsidR="007678C3" w:rsidRPr="00F854F4" w:rsidRDefault="007678C3" w:rsidP="008F12C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Wartość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 xml:space="preserve"> </w:t>
      </w:r>
      <w:r w:rsidR="00594AE4">
        <w:t xml:space="preserve">co do zasady </w:t>
      </w:r>
      <w:r w:rsidR="00BD38A0" w:rsidRPr="00BD38A0">
        <w:t xml:space="preserve">wynosi  do </w:t>
      </w:r>
      <w:r w:rsidR="00C550F1">
        <w:t>1 000</w:t>
      </w:r>
      <w:r w:rsidR="00BD38A0" w:rsidRPr="00BD38A0">
        <w:t xml:space="preserve"> 000,00 zł.</w:t>
      </w:r>
    </w:p>
    <w:p w14:paraId="64547E0F" w14:textId="0ECAA44C" w:rsidR="00ED69E0" w:rsidRDefault="00ED69E0" w:rsidP="008F12C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>
        <w:t xml:space="preserve">Ostatecznym Odbiorcą Pożyczki na Inwestycje Rozwojowe </w:t>
      </w:r>
      <w:r w:rsidR="00AE206C">
        <w:t>jest Mikroprzedsiębiorstwo</w:t>
      </w:r>
      <w:r w:rsidR="00B968FB">
        <w:t>,</w:t>
      </w:r>
      <w:r w:rsidR="00AE206C">
        <w:t xml:space="preserve"> Małe</w:t>
      </w:r>
      <w:r w:rsidR="00B968FB">
        <w:t xml:space="preserve"> </w:t>
      </w:r>
      <w:r w:rsidR="009064F9">
        <w:t xml:space="preserve">Przedsiębiorstwo </w:t>
      </w:r>
      <w:bookmarkStart w:id="0" w:name="_GoBack"/>
      <w:bookmarkEnd w:id="0"/>
      <w:r w:rsidR="00B968FB">
        <w:t>lub Średnie</w:t>
      </w:r>
      <w:r w:rsidR="00AE206C">
        <w:t xml:space="preserve"> P</w:t>
      </w:r>
      <w:r>
        <w:t xml:space="preserve">rzedsiębiorstwo posiadające siedzibę i prowadzące działalność na obszarze województwa podlaskiego.  </w:t>
      </w:r>
    </w:p>
    <w:p w14:paraId="7BE167C4" w14:textId="0254F484" w:rsidR="00B847E0" w:rsidRPr="00B847E0" w:rsidRDefault="00B847E0" w:rsidP="006A6DE6">
      <w:pPr>
        <w:pStyle w:val="Akapitzlist"/>
        <w:numPr>
          <w:ilvl w:val="0"/>
          <w:numId w:val="11"/>
        </w:numPr>
        <w:spacing w:after="120" w:line="240" w:lineRule="auto"/>
        <w:ind w:left="425"/>
        <w:contextualSpacing w:val="0"/>
        <w:jc w:val="both"/>
      </w:pPr>
      <w:r w:rsidRPr="00B847E0">
        <w:t>Ostateczny Odbiorca ubiegający się o Jednostkową Pożyczkę na Inwestycje Rozwojowe zobowiązany jest do wniesienia wkładu własnego w wysokości min. 7,5% wartości inwestycji, co oznacza, że Jednostkowej Pożyczki na Inwestycje Rozwojowe w koszcie realizowanego przedsięwzięcia rozwojowego może stanowić do 92,5% jego wartości.</w:t>
      </w:r>
    </w:p>
    <w:p w14:paraId="7F1A7ADF" w14:textId="0415A540" w:rsidR="00771CA8" w:rsidRDefault="00771CA8" w:rsidP="00BF0FBD">
      <w:pPr>
        <w:pStyle w:val="Akapitzlist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</w:pPr>
      <w:r w:rsidRPr="00F74121">
        <w:t>Maksymalny termin na wypłatę całkowitej kwoty Jednostkowej Pożyczki na Inwestycje Rozwojowe Ostatecznemu Odbiorcy wynosi 90  dni kalendarzowych od dnia zawarcia Umowy</w:t>
      </w:r>
      <w:r>
        <w:t xml:space="preserve"> Pożyczki na Inwestycje Rozwojowe</w:t>
      </w:r>
      <w:r w:rsidRPr="00F74121">
        <w:t xml:space="preserve">, </w:t>
      </w:r>
      <w:r>
        <w:t>bez względu na liczbę transz,</w:t>
      </w:r>
      <w:r w:rsidRPr="00F74121">
        <w:t xml:space="preserve"> w jakich jest ona wypłacana</w:t>
      </w:r>
      <w:r>
        <w:t xml:space="preserve">. </w:t>
      </w:r>
      <w:r w:rsidRPr="00F74121">
        <w:t xml:space="preserve"> </w:t>
      </w:r>
    </w:p>
    <w:p w14:paraId="6386264E" w14:textId="37B7B393" w:rsidR="00097D21" w:rsidRPr="00F854F4" w:rsidRDefault="00097D21" w:rsidP="00771CA8">
      <w:pPr>
        <w:pStyle w:val="Akapitzlist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</w:pPr>
      <w:r w:rsidRPr="00F854F4">
        <w:t xml:space="preserve">Maksymalny okres spłaty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="00B968FB">
        <w:t xml:space="preserve"> nie może być dłuższy niż 84 miesiące </w:t>
      </w:r>
      <w:r w:rsidR="00AE7DAF" w:rsidRPr="00F854F4">
        <w:t>od momentu jej uruchomienia</w:t>
      </w:r>
      <w:r w:rsidR="00854DE4" w:rsidRPr="00F854F4">
        <w:t xml:space="preserve">, tj. wypłaty jakiejkolwiek kwoty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>.</w:t>
      </w:r>
    </w:p>
    <w:p w14:paraId="2E4B2D9B" w14:textId="676F9691" w:rsidR="001465A3" w:rsidRDefault="00CC1E53" w:rsidP="00771CA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Maksymalna karencja w spłacie </w:t>
      </w:r>
      <w:r w:rsidR="005F6A70">
        <w:t xml:space="preserve">kapitału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 xml:space="preserve"> wynosi 6 miesięcy</w:t>
      </w:r>
      <w:r w:rsidR="006856FE" w:rsidRPr="00F854F4">
        <w:t xml:space="preserve"> od dnia jej uruchomienia</w:t>
      </w:r>
      <w:r w:rsidRPr="00F854F4">
        <w:t xml:space="preserve">, przy czym karencja nie wydłuża okresu spłaty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="00A51C14" w:rsidRPr="00F854F4">
        <w:t>.</w:t>
      </w:r>
    </w:p>
    <w:p w14:paraId="3EF0198F" w14:textId="77777777" w:rsidR="00771CA8" w:rsidRPr="00771CA8" w:rsidRDefault="00771CA8" w:rsidP="00771CA8">
      <w:pPr>
        <w:pStyle w:val="Akapitzlist"/>
        <w:spacing w:after="120"/>
        <w:ind w:left="426"/>
        <w:contextualSpacing w:val="0"/>
        <w:jc w:val="both"/>
      </w:pPr>
    </w:p>
    <w:p w14:paraId="15216030" w14:textId="65C3A406" w:rsidR="001465A3" w:rsidRPr="00F854F4" w:rsidRDefault="00FD1A3D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Z</w:t>
      </w:r>
      <w:r w:rsidR="005F3EAE" w:rsidRPr="00F854F4">
        <w:rPr>
          <w:b/>
        </w:rPr>
        <w:t>asady dotyczące</w:t>
      </w:r>
      <w:r w:rsidR="001465A3" w:rsidRPr="00F854F4">
        <w:rPr>
          <w:b/>
        </w:rPr>
        <w:t xml:space="preserve"> udzielania</w:t>
      </w:r>
      <w:r w:rsidR="00417A9B" w:rsidRPr="00F854F4">
        <w:rPr>
          <w:b/>
        </w:rPr>
        <w:t xml:space="preserve"> i udokumentowania</w:t>
      </w:r>
      <w:r w:rsidR="001465A3" w:rsidRPr="00F854F4">
        <w:rPr>
          <w:b/>
        </w:rPr>
        <w:t xml:space="preserve"> </w:t>
      </w:r>
      <w:r w:rsidR="00BD38A0" w:rsidRPr="00BD38A0">
        <w:rPr>
          <w:b/>
        </w:rPr>
        <w:t xml:space="preserve">Pożyczki </w:t>
      </w:r>
      <w:r w:rsidR="00ED69E0">
        <w:rPr>
          <w:b/>
        </w:rPr>
        <w:t>na I</w:t>
      </w:r>
      <w:r w:rsidR="00B27CBD">
        <w:rPr>
          <w:b/>
        </w:rPr>
        <w:t xml:space="preserve">nwestycje </w:t>
      </w:r>
      <w:r w:rsidR="00BD38A0" w:rsidRPr="00BD38A0">
        <w:rPr>
          <w:b/>
        </w:rPr>
        <w:t>Rozwojowe</w:t>
      </w:r>
    </w:p>
    <w:p w14:paraId="209729E3" w14:textId="64D5472E" w:rsidR="001465A3" w:rsidRDefault="001465A3" w:rsidP="008F12C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854F4">
        <w:t xml:space="preserve">Udzielenie </w:t>
      </w:r>
      <w:r w:rsidR="00BD38A0">
        <w:t xml:space="preserve">Pożyczki </w:t>
      </w:r>
      <w:r w:rsidR="00B27CBD">
        <w:t xml:space="preserve">na inwestycje </w:t>
      </w:r>
      <w:r w:rsidR="00BD38A0">
        <w:t>Rozwojowej</w:t>
      </w:r>
      <w:r w:rsidRPr="00F854F4">
        <w:t xml:space="preserve"> nie może być uzależnione od zawarcia przez Ostatecznego Odbiorcę dodatkowych umów (w szczególności dotyczących zakupu dodatkowych usług</w:t>
      </w:r>
      <w:r w:rsidR="00EE07F6" w:rsidRPr="00F854F4">
        <w:t xml:space="preserve">, </w:t>
      </w:r>
      <w:r w:rsidR="002612FF" w:rsidRPr="00F854F4">
        <w:t>produktów finansowych lub ubezpieczeniowych</w:t>
      </w:r>
      <w:r w:rsidRPr="00F854F4">
        <w:t xml:space="preserve">) z </w:t>
      </w:r>
      <w:r w:rsidR="00651A67">
        <w:t>Funduszem Wschodnim</w:t>
      </w:r>
      <w:r w:rsidR="00FD1A3D" w:rsidRPr="00F854F4">
        <w:t xml:space="preserve"> </w:t>
      </w:r>
      <w:r w:rsidRPr="00F854F4">
        <w:t xml:space="preserve">lub podmiotem partnerskim lub powiązanym w stosunku do </w:t>
      </w:r>
      <w:r w:rsidR="00651A67">
        <w:t>Funduszu Wschodniego</w:t>
      </w:r>
      <w:r w:rsidRPr="00F854F4">
        <w:t xml:space="preserve">; powyższe nie dotyczy </w:t>
      </w:r>
      <w:r w:rsidR="003408A3" w:rsidRPr="00F854F4">
        <w:t xml:space="preserve">powszechnie występujących na rynku oraz standardowo stosowanych przez </w:t>
      </w:r>
      <w:r w:rsidR="00651A67">
        <w:t xml:space="preserve">Fundusz Wschodni </w:t>
      </w:r>
      <w:r w:rsidR="00FD1A3D" w:rsidRPr="00F854F4">
        <w:t xml:space="preserve"> </w:t>
      </w:r>
      <w:r w:rsidRPr="00F854F4">
        <w:t xml:space="preserve">zabezpieczeń ustanawianych przez Ostatecznego Odbiorcę na rzecz </w:t>
      </w:r>
      <w:r w:rsidR="00651A67">
        <w:t>Funduszu Wschodniego</w:t>
      </w:r>
      <w:r w:rsidR="00FD1A3D" w:rsidRPr="00F854F4">
        <w:t xml:space="preserve"> </w:t>
      </w:r>
      <w:r w:rsidRPr="00F854F4">
        <w:t xml:space="preserve">w związku z zawieraną umową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="00B904C3" w:rsidRPr="00F854F4">
        <w:t>, z zastrzeżeniem, iż w przypadku zabezpieczenia takiego jak „cesja praw z polisy ubezpieczeniowej” Ostateczny Odbiorca ma możliwość wyboru oferty spośród ubezpieczycieli dostępnych na rynku.</w:t>
      </w:r>
    </w:p>
    <w:p w14:paraId="13DA107C" w14:textId="492C9131" w:rsidR="00771CA8" w:rsidRDefault="00771CA8" w:rsidP="00771CA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817FA8">
        <w:t xml:space="preserve">Wydatkowanie środków </w:t>
      </w:r>
      <w:r>
        <w:t>Jednostkowej Pożyczki na Inwestycje Rozwojowe</w:t>
      </w:r>
      <w:r w:rsidRPr="00817FA8">
        <w:t xml:space="preserve"> musi zostać należycie udokumentowane</w:t>
      </w:r>
      <w:r>
        <w:t xml:space="preserve"> w terminie do 90 dni od </w:t>
      </w:r>
      <w:r w:rsidRPr="00211FB9">
        <w:t>dnia wypłaty pełnej kwoty</w:t>
      </w:r>
      <w:r>
        <w:t xml:space="preserve"> Jednostkowej Pożyczki. </w:t>
      </w:r>
      <w:r>
        <w:br/>
      </w:r>
      <w:r w:rsidRPr="00CB2422">
        <w:t>W uzasadnionych przypadkach, na wniosek Ostatecznego Odbiorcy</w:t>
      </w:r>
      <w:r>
        <w:t>,</w:t>
      </w:r>
      <w:r w:rsidRPr="00CB2422">
        <w:t xml:space="preserve"> Pośrednik Finansowy może zaakceptować wydłużenie tego terminu maksymalnie o kolejne 90 dni ze względu na charakter inwestycji. </w:t>
      </w:r>
    </w:p>
    <w:p w14:paraId="7B55CB24" w14:textId="6635443A" w:rsidR="00B847E0" w:rsidRDefault="00771CA8" w:rsidP="00771CA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817FA8">
        <w:t xml:space="preserve">Dokumentem potwierdzającym wydatkowanie środków </w:t>
      </w:r>
      <w:r w:rsidR="00EF6AE0">
        <w:t>Pożyczki na Inwestycje Rozwojowe zgodnie z celem,</w:t>
      </w:r>
      <w:r w:rsidRPr="00817FA8">
        <w:t xml:space="preserve"> na jaki zostały przyznane</w:t>
      </w:r>
      <w:r>
        <w:t>,</w:t>
      </w:r>
      <w:r w:rsidRPr="00817FA8">
        <w:t xml:space="preserve"> </w:t>
      </w:r>
      <w:r>
        <w:t>jest</w:t>
      </w:r>
      <w:r w:rsidRPr="00817FA8">
        <w:t xml:space="preserve"> faktura lub dokument równoważny</w:t>
      </w:r>
      <w:r>
        <w:t>, w rozumieniu przepisów prawa krajowego.</w:t>
      </w:r>
    </w:p>
    <w:p w14:paraId="7D90C5B8" w14:textId="77777777" w:rsidR="00771CA8" w:rsidRPr="00B847E0" w:rsidRDefault="00771CA8" w:rsidP="00771CA8">
      <w:pPr>
        <w:pStyle w:val="Akapitzlist"/>
        <w:spacing w:after="120"/>
        <w:ind w:left="426"/>
        <w:contextualSpacing w:val="0"/>
        <w:jc w:val="both"/>
      </w:pPr>
    </w:p>
    <w:p w14:paraId="4AF2C08B" w14:textId="5EE59B7C" w:rsidR="00EC07BB" w:rsidRPr="008F12C8" w:rsidRDefault="00EC07BB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8F12C8">
        <w:rPr>
          <w:b/>
        </w:rPr>
        <w:lastRenderedPageBreak/>
        <w:t>Przeznaczenie finansowania (Cele Inwestycji)</w:t>
      </w:r>
    </w:p>
    <w:p w14:paraId="52CA5732" w14:textId="77777777" w:rsidR="00B847E0" w:rsidRDefault="00B847E0" w:rsidP="00771CA8">
      <w:pPr>
        <w:pStyle w:val="Akapitzlist"/>
        <w:numPr>
          <w:ilvl w:val="0"/>
          <w:numId w:val="30"/>
        </w:numPr>
        <w:spacing w:after="120" w:line="240" w:lineRule="auto"/>
        <w:ind w:left="426" w:hanging="357"/>
        <w:contextualSpacing w:val="0"/>
        <w:jc w:val="both"/>
      </w:pPr>
      <w:r w:rsidRPr="00B847E0">
        <w:t xml:space="preserve">Celem instrumentu finansowego jest finansowanie przedsięwzięć rozwojowych w sektorze usług a także inwestycji dotyczących zastosowania technologii informacyjno-komunikacyjnych (TIK) w przedsiębiorstwach bez ograniczeń branżowych, realizowanych na terenie województwa podlaskiego. </w:t>
      </w:r>
    </w:p>
    <w:p w14:paraId="61320A72" w14:textId="77777777" w:rsidR="00B847E0" w:rsidRPr="00817FA8" w:rsidRDefault="00B847E0" w:rsidP="00771CA8">
      <w:pPr>
        <w:pStyle w:val="Akapitzlist"/>
        <w:numPr>
          <w:ilvl w:val="0"/>
          <w:numId w:val="30"/>
        </w:numPr>
        <w:spacing w:after="120" w:line="240" w:lineRule="auto"/>
        <w:ind w:left="567" w:hanging="357"/>
        <w:contextualSpacing w:val="0"/>
        <w:jc w:val="both"/>
      </w:pPr>
      <w:r>
        <w:t xml:space="preserve">Wyżej wymienione cele będą realizowane  poprzez następujące typy inwestycji: </w:t>
      </w:r>
    </w:p>
    <w:p w14:paraId="57C79EAA" w14:textId="77777777" w:rsidR="00B847E0" w:rsidRDefault="00B847E0" w:rsidP="00771CA8">
      <w:pPr>
        <w:pStyle w:val="Akapitzlist"/>
        <w:numPr>
          <w:ilvl w:val="0"/>
          <w:numId w:val="38"/>
        </w:numPr>
        <w:spacing w:after="120" w:line="23" w:lineRule="atLeast"/>
        <w:ind w:left="993"/>
        <w:contextualSpacing w:val="0"/>
        <w:jc w:val="both"/>
      </w:pPr>
      <w:r>
        <w:t>wdrażanie innowacji produktowych, procesowych, marketingowych i organizacyjnych w sektorze usług, w tym m.in.:</w:t>
      </w:r>
    </w:p>
    <w:p w14:paraId="201EC523" w14:textId="77777777" w:rsidR="00B847E0" w:rsidRDefault="00B847E0" w:rsidP="00771CA8">
      <w:pPr>
        <w:pStyle w:val="Akapitzlist"/>
        <w:numPr>
          <w:ilvl w:val="0"/>
          <w:numId w:val="31"/>
        </w:numPr>
        <w:spacing w:after="120" w:line="23" w:lineRule="atLeast"/>
        <w:contextualSpacing w:val="0"/>
        <w:jc w:val="both"/>
      </w:pPr>
      <w:r>
        <w:t>rozbudowa przedsiębiorstwa prowadząca do wprowadzenia na rynek nowych usług,</w:t>
      </w:r>
    </w:p>
    <w:p w14:paraId="577DA056" w14:textId="77777777" w:rsidR="00B847E0" w:rsidRDefault="00B847E0" w:rsidP="00771CA8">
      <w:pPr>
        <w:pStyle w:val="Akapitzlist"/>
        <w:numPr>
          <w:ilvl w:val="0"/>
          <w:numId w:val="31"/>
        </w:numPr>
        <w:spacing w:after="120" w:line="23" w:lineRule="atLeast"/>
        <w:contextualSpacing w:val="0"/>
        <w:jc w:val="both"/>
      </w:pPr>
      <w:r>
        <w:t>dokonanie zasadniczych zmian w sposobie świadczenia usług, skutkujących   wprowadzeniem na rynek nowych lub ulepszonych usług;</w:t>
      </w:r>
    </w:p>
    <w:p w14:paraId="097CEE2B" w14:textId="77777777" w:rsidR="00B847E0" w:rsidRDefault="00B847E0" w:rsidP="00771CA8">
      <w:pPr>
        <w:pStyle w:val="Akapitzlist"/>
        <w:numPr>
          <w:ilvl w:val="0"/>
          <w:numId w:val="32"/>
        </w:numPr>
        <w:spacing w:after="120" w:line="23" w:lineRule="atLeast"/>
        <w:ind w:left="1134" w:hanging="425"/>
        <w:contextualSpacing w:val="0"/>
        <w:jc w:val="both"/>
      </w:pPr>
      <w:r>
        <w:t>zwiększenie zastosowania technologii informacyjno-komunikacyjnych, w tym m.in.:</w:t>
      </w:r>
    </w:p>
    <w:p w14:paraId="18C9A2D1" w14:textId="77777777" w:rsidR="00B847E0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>wdrażanie, rozbudowa i unowocześnianie systemów informatycznych, wspieranie procesów informatyzacji wewnętrznej przedsiębiorstw oraz wykorzystania najnowszych osiągnięć technologicznych i organizacyjnych dla wprowadzania procesów modernizacyjnych w przedsiębiorstwach, np. wdrożenie wirtualnego systemu obsługi działalności, nowoczesnych rozwiązań informatycznych w organizacji i zarządzaniu, stworzenie portalu pracowniczego do zarządzania zasobami personalnymi;</w:t>
      </w:r>
    </w:p>
    <w:p w14:paraId="0A77F270" w14:textId="77777777" w:rsidR="00B847E0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 xml:space="preserve">operacje przyczyniające się do rozwoju produktów i usług opartych na technologiach informacyjno-komunikacyjnych (e-biznes) poprzez zakup sprzętu, oprogramowania, , wykorzystanie technologii informacyjno-komunikacyjnych w relacjach pomiędzy przedsiębiorcą </w:t>
      </w:r>
      <w:r>
        <w:br/>
        <w:t>a klientem końcowym (B2C), sprzedaż produktów i usług w internecie;</w:t>
      </w:r>
    </w:p>
    <w:p w14:paraId="0DCA37BF" w14:textId="0A35AE1E" w:rsidR="007678C3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>zastosowanie technologii informacyjno-komunikacyjnych w rozwoju i poprawie efektywności działania, m.in. poprzez wsparcie rozwoju współpracy między przedsiębiorstwami (B2B), automatyzację procesów biznesowych i wymiany danych.</w:t>
      </w:r>
    </w:p>
    <w:p w14:paraId="48655A96" w14:textId="77777777" w:rsidR="00771CA8" w:rsidRPr="00F854F4" w:rsidRDefault="00771CA8" w:rsidP="00771CA8">
      <w:pPr>
        <w:pStyle w:val="Akapitzlist"/>
        <w:tabs>
          <w:tab w:val="left" w:pos="1134"/>
        </w:tabs>
        <w:spacing w:after="120" w:line="23" w:lineRule="atLeast"/>
        <w:ind w:left="1494"/>
        <w:contextualSpacing w:val="0"/>
        <w:jc w:val="both"/>
      </w:pPr>
    </w:p>
    <w:p w14:paraId="21C965B1" w14:textId="50400A57" w:rsidR="00614CDD" w:rsidRPr="008F12C8" w:rsidRDefault="00614CDD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8F12C8">
        <w:rPr>
          <w:b/>
        </w:rPr>
        <w:t>Wykluczenia z finansowania</w:t>
      </w:r>
    </w:p>
    <w:p w14:paraId="377884D5" w14:textId="55FAD8B8" w:rsidR="00771CA8" w:rsidRPr="00817FA8" w:rsidRDefault="00771CA8" w:rsidP="00771CA8">
      <w:pPr>
        <w:spacing w:after="120" w:line="23" w:lineRule="atLeast"/>
        <w:ind w:firstLine="708"/>
        <w:jc w:val="both"/>
        <w:rPr>
          <w:highlight w:val="yellow"/>
        </w:rPr>
      </w:pPr>
      <w:r>
        <w:t xml:space="preserve">Środki Pożyczki na Inwestycje Rozwojowe nie mogą być przeznaczone na: </w:t>
      </w:r>
    </w:p>
    <w:p w14:paraId="258CB65F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wydatków pokrytych uprzednio ze środków EFSI, z innych funduszy, programów, środków i instrumentów Unii Europejskiej lub innych źródeł pomocy krajowej lub zagranicznej;</w:t>
      </w:r>
    </w:p>
    <w:p w14:paraId="223D2FEF" w14:textId="77777777" w:rsidR="00771CA8" w:rsidRPr="0042504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prefinansowanie wydatków na które otrzymano dofinansowanie w formie dotacji lub pomocy zwrotnej;</w:t>
      </w:r>
    </w:p>
    <w:p w14:paraId="20649A00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5F1C77">
        <w:rPr>
          <w:rFonts w:eastAsia="Times New Roman" w:cs="Times New Roman"/>
        </w:rPr>
        <w:t xml:space="preserve">refinansowanie </w:t>
      </w:r>
      <w:r>
        <w:rPr>
          <w:rFonts w:eastAsia="Times New Roman" w:cs="Times New Roman"/>
        </w:rPr>
        <w:t xml:space="preserve">jakichkolwiek pożyczek, kredytów lub rat leasingowych;  </w:t>
      </w:r>
    </w:p>
    <w:p w14:paraId="4E74B1FD" w14:textId="77777777" w:rsidR="00771CA8" w:rsidRPr="000E3905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5F1C77">
        <w:rPr>
          <w:rFonts w:eastAsia="Times New Roman" w:cs="Times New Roman"/>
        </w:rPr>
        <w:t>spłatę zobowiązań publiczno-prawnych Ostatecznego Odbiorcy;</w:t>
      </w:r>
    </w:p>
    <w:p w14:paraId="6DDD1564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 xml:space="preserve">finasowanie wydatków niezwiązanych bezpośrednio z Celem inwestycji, określonym w pkt. IV powyżej; </w:t>
      </w:r>
    </w:p>
    <w:p w14:paraId="558A9F67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E81C7B">
        <w:rPr>
          <w:rFonts w:eastAsia="Times New Roman" w:cs="Times New Roman"/>
        </w:rPr>
        <w:t xml:space="preserve">pokrywanie bieżących kosztów prowadzenia działalności gospodarczej lub </w:t>
      </w:r>
      <w:r w:rsidRPr="00E81C7B">
        <w:rPr>
          <w:rFonts w:eastAsia="Times New Roman" w:cs="Times New Roman"/>
        </w:rPr>
        <w:br/>
        <w:t>na cele konsumpcyjne</w:t>
      </w:r>
      <w:r>
        <w:rPr>
          <w:rFonts w:eastAsia="Times New Roman" w:cs="Times New Roman"/>
        </w:rPr>
        <w:t>;</w:t>
      </w:r>
    </w:p>
    <w:p w14:paraId="421218D8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refinansowanie inwestycji, które w dniu podjęcia decyzji inwestycyjnej zostały fizycznie ukończone lub w pełni wdrożone</w:t>
      </w:r>
      <w:r>
        <w:t>;</w:t>
      </w:r>
    </w:p>
    <w:p w14:paraId="4B4FFBEC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928" w:hanging="219"/>
        <w:contextualSpacing w:val="0"/>
        <w:jc w:val="both"/>
      </w:pPr>
      <w:r>
        <w:t xml:space="preserve">     finansowanie zakupu aktywów finansowych przeznaczonych do obrotu;</w:t>
      </w:r>
    </w:p>
    <w:p w14:paraId="56806453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928" w:hanging="219"/>
        <w:contextualSpacing w:val="0"/>
        <w:jc w:val="both"/>
      </w:pPr>
      <w:r>
        <w:t xml:space="preserve">      finansowanie nieruchomości przeznaczonych do obrotu;</w:t>
      </w:r>
    </w:p>
    <w:p w14:paraId="1695AAF5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1134" w:hanging="425"/>
        <w:contextualSpacing w:val="0"/>
        <w:jc w:val="both"/>
      </w:pPr>
      <w:r w:rsidRPr="00E154E1">
        <w:lastRenderedPageBreak/>
        <w:t>finansowanie kształcenia, szkolenia, szkolenia zawodowego pracowników lub innych przedsięwzięć bezpośrednio objętych zakresem rozporządzenia Parlamentu Europejskiego i Rady (UE) nr 1304/2013 w sprawie Europejskiego Funduszu Społecznego;</w:t>
      </w:r>
    </w:p>
    <w:p w14:paraId="06CC3493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wytwarzania, przetwórstwa lub wprowadzania do obrotu tytoniu i wyrobów tytoniowych;</w:t>
      </w:r>
    </w:p>
    <w:p w14:paraId="6309AE63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napojów alkoholowych;</w:t>
      </w:r>
    </w:p>
    <w:p w14:paraId="0573F4A5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treści pornograficznych;</w:t>
      </w:r>
    </w:p>
    <w:p w14:paraId="4C7D07E7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 xml:space="preserve">finansowanie działalności w zakresie obrotu materiałami wybuchowymi, bronią </w:t>
      </w:r>
      <w:r>
        <w:br/>
        <w:t>i amunicją;</w:t>
      </w:r>
    </w:p>
    <w:p w14:paraId="73A4F7F7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1134" w:hanging="425"/>
        <w:contextualSpacing w:val="0"/>
        <w:jc w:val="both"/>
      </w:pPr>
      <w:r>
        <w:t>finansowanie działalności w zakresie gier losowych, zakładów wzajemnych, gier na automatach i gier na automatach o niskich wygranych;</w:t>
      </w:r>
    </w:p>
    <w:p w14:paraId="1AC9B0C6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środków odurzających, substancji psychotropowych lub prekursorów;</w:t>
      </w:r>
    </w:p>
    <w:p w14:paraId="468F6117" w14:textId="77777777" w:rsidR="00771CA8" w:rsidRPr="00817FA8" w:rsidRDefault="00771CA8" w:rsidP="00771CA8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after="120" w:line="23" w:lineRule="atLeast"/>
        <w:ind w:left="928" w:hanging="219"/>
        <w:contextualSpacing w:val="0"/>
        <w:jc w:val="both"/>
      </w:pPr>
      <w:r w:rsidRPr="00817FA8">
        <w:t>finansowan</w:t>
      </w:r>
      <w:r>
        <w:t>i</w:t>
      </w:r>
      <w:r w:rsidRPr="00817FA8">
        <w:t>e likwidacji ani budowy elektrowni jądrowych;</w:t>
      </w:r>
    </w:p>
    <w:p w14:paraId="058C7BF0" w14:textId="77777777" w:rsidR="00771CA8" w:rsidRPr="00817F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finansowan</w:t>
      </w:r>
      <w:r>
        <w:t>i</w:t>
      </w:r>
      <w:r w:rsidRPr="00817FA8">
        <w:t xml:space="preserve">e inwestycji na rzecz redukcji emisji gazów cieplarnianych pochodzących </w:t>
      </w:r>
      <w:r>
        <w:br/>
      </w:r>
      <w:r w:rsidRPr="00817FA8">
        <w:t>z listy działań wymienionych w załączniku I do dyrektywy 2003/87/WE;</w:t>
      </w:r>
    </w:p>
    <w:p w14:paraId="797B4BB9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finansowan</w:t>
      </w:r>
      <w:r>
        <w:t>i</w:t>
      </w:r>
      <w:r w:rsidRPr="00817FA8">
        <w:t xml:space="preserve">e inwestycji w infrastrukturę portów lotniczych, chyba że są one związane </w:t>
      </w:r>
      <w:r w:rsidRPr="00817FA8">
        <w:br/>
        <w:t>z ochroną środowiska lub towarzyszą im inwestycje niezbędne do łagodzenia lub ograniczenia</w:t>
      </w:r>
      <w:r>
        <w:t xml:space="preserve"> </w:t>
      </w:r>
      <w:r w:rsidRPr="00560B36">
        <w:t>ich negatywnego oddziaływania na środowisko</w:t>
      </w:r>
      <w:r>
        <w:t>.</w:t>
      </w:r>
    </w:p>
    <w:p w14:paraId="2DCF4E58" w14:textId="77777777" w:rsidR="00EC07BB" w:rsidRPr="00B06F32" w:rsidRDefault="00EC07BB" w:rsidP="008F12C8">
      <w:pPr>
        <w:spacing w:after="120"/>
        <w:jc w:val="both"/>
      </w:pPr>
    </w:p>
    <w:p w14:paraId="67C7B005" w14:textId="77777777" w:rsidR="00C94198" w:rsidRPr="00F854F4" w:rsidRDefault="00C94198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Ograniczenia w finansowaniu</w:t>
      </w:r>
    </w:p>
    <w:p w14:paraId="08B902C5" w14:textId="77777777" w:rsidR="00B847E0" w:rsidRDefault="00B847E0" w:rsidP="00B847E0">
      <w:pPr>
        <w:pStyle w:val="Akapitzlist"/>
        <w:numPr>
          <w:ilvl w:val="0"/>
          <w:numId w:val="39"/>
        </w:numPr>
        <w:spacing w:after="120"/>
        <w:jc w:val="both"/>
      </w:pPr>
      <w:r>
        <w:t>Finansowanie zakupu gruntów niezabudowanych i zabudowanych w ramach finansowanej inwestycji możliwe jest do wysokości 10 % Jednostkowej Pożyczki  udzielonej na rzecz Ostatecznego Odbiorcy.</w:t>
      </w:r>
    </w:p>
    <w:p w14:paraId="2D0EB10A" w14:textId="261B38BB" w:rsidR="008F12C8" w:rsidRDefault="00B847E0" w:rsidP="008F12C8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Jedno przedsiębiorstwo może otrzymać w ramach przyznanego Limitu Pożyczki na Inwestycje Rozwojowe maksymalnie jedną Jednostkową Pożyczkę na Inwestycje Rozwojowe.  </w:t>
      </w:r>
    </w:p>
    <w:p w14:paraId="7D5C1753" w14:textId="77777777" w:rsidR="006A6DE6" w:rsidRPr="006A6DE6" w:rsidRDefault="006A6DE6" w:rsidP="006A6DE6">
      <w:pPr>
        <w:pStyle w:val="Akapitzlist"/>
        <w:spacing w:after="120"/>
        <w:jc w:val="both"/>
      </w:pPr>
    </w:p>
    <w:p w14:paraId="366D8A23" w14:textId="0CA9DDA7" w:rsidR="005C057F" w:rsidRPr="00F854F4" w:rsidRDefault="005C057F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Zasady </w:t>
      </w:r>
      <w:r w:rsidR="00EE07F6" w:rsidRPr="00F854F4">
        <w:rPr>
          <w:b/>
        </w:rPr>
        <w:t xml:space="preserve">odpłatności za udzielenie </w:t>
      </w:r>
      <w:r w:rsidR="005F6A70">
        <w:rPr>
          <w:b/>
        </w:rPr>
        <w:t>Pożyczki Rozwojowej</w:t>
      </w:r>
    </w:p>
    <w:p w14:paraId="160779DB" w14:textId="4DD813BB" w:rsidR="00AF15DD" w:rsidRDefault="00AF15DD" w:rsidP="00AF15DD">
      <w:pPr>
        <w:pStyle w:val="Akapitzlist"/>
        <w:numPr>
          <w:ilvl w:val="0"/>
          <w:numId w:val="41"/>
        </w:numPr>
        <w:spacing w:after="120" w:line="23" w:lineRule="atLeast"/>
        <w:ind w:left="709"/>
        <w:jc w:val="both"/>
      </w:pPr>
      <w:r>
        <w:t>Jednostkowe Pożyczki na Inwestycje Rozwojowe</w:t>
      </w:r>
      <w:r w:rsidRPr="00817FA8">
        <w:t xml:space="preserve"> udzielane</w:t>
      </w:r>
      <w:r>
        <w:t xml:space="preserve"> są </w:t>
      </w:r>
      <w:r w:rsidRPr="00817FA8">
        <w:t xml:space="preserve"> przez Pośrednika Finansowego</w:t>
      </w:r>
      <w:r>
        <w:t>,</w:t>
      </w:r>
      <w:r w:rsidRPr="00EE07F6">
        <w:t xml:space="preserve"> </w:t>
      </w:r>
      <w:r>
        <w:t xml:space="preserve"> </w:t>
      </w:r>
      <w:r w:rsidRPr="00817FA8">
        <w:t>kwalifikowalnym przedsiębiorstwom</w:t>
      </w:r>
      <w:r>
        <w:t>,</w:t>
      </w:r>
      <w:r w:rsidRPr="00817FA8">
        <w:t xml:space="preserve"> </w:t>
      </w:r>
      <w:r>
        <w:t>są udzielane:</w:t>
      </w:r>
    </w:p>
    <w:p w14:paraId="37DA7AEF" w14:textId="77777777" w:rsidR="00AF15DD" w:rsidRDefault="00AF15DD" w:rsidP="00AF15DD">
      <w:pPr>
        <w:pStyle w:val="Akapitzlist"/>
        <w:numPr>
          <w:ilvl w:val="0"/>
          <w:numId w:val="40"/>
        </w:numPr>
        <w:spacing w:after="120" w:line="23" w:lineRule="atLeast"/>
        <w:jc w:val="both"/>
      </w:pPr>
      <w:r w:rsidRPr="00A609E8">
        <w:rPr>
          <w:b/>
        </w:rPr>
        <w:t>na warunkach korzystniejszych niż rynkowe</w:t>
      </w:r>
      <w:r w:rsidRPr="00817FA8">
        <w:t xml:space="preserve">, zgodnie z zasadami udzielania pomocy </w:t>
      </w:r>
      <w:r w:rsidRPr="00A609E8">
        <w:rPr>
          <w:i/>
        </w:rPr>
        <w:t xml:space="preserve">de minimis, </w:t>
      </w:r>
      <w:r w:rsidRPr="00817FA8">
        <w:t xml:space="preserve">o których mowa w </w:t>
      </w:r>
      <w:r w:rsidRPr="00A609E8">
        <w:rPr>
          <w:i/>
        </w:rPr>
        <w:t xml:space="preserve">Rozporządzeniu Komisji  (UE) nr 1407/2013 z dnia 18 grudnia 2013 r. w sprawie stosowania art. 107 i 108 Traktatu o funkcjonowaniu Unii Europejskiej do pomocy de minimis </w:t>
      </w:r>
      <w:r w:rsidRPr="00817FA8">
        <w:t xml:space="preserve">oraz </w:t>
      </w:r>
      <w:r w:rsidRPr="00A609E8">
        <w:rPr>
          <w:i/>
        </w:rPr>
        <w:t>Rozporządzenia Ministra Infrastruktury i Rozwoju z dnia 19 marca 2015 r. w sprawie udzielania pomocy de minimis w ramach regionalnych programów operacyjnych na lata 2014–2020 (</w:t>
      </w:r>
      <w:r w:rsidRPr="00817FA8">
        <w:t>Dz.U. 2015 poz. 488 z późniejszymi zmianami).</w:t>
      </w:r>
      <w:r w:rsidRPr="00A609E8">
        <w:rPr>
          <w:i/>
        </w:rPr>
        <w:t xml:space="preserve"> </w:t>
      </w:r>
      <w:r w:rsidRPr="00817FA8">
        <w:t xml:space="preserve">W przypadku wystąpienia pomocy w formie </w:t>
      </w:r>
      <w:r w:rsidRPr="00A609E8">
        <w:rPr>
          <w:i/>
        </w:rPr>
        <w:t>de minimis</w:t>
      </w:r>
      <w:r w:rsidRPr="00817FA8">
        <w:t xml:space="preserve"> obowiązek badania dopuszczalności pomocy, zgłaszania faktu udzielenia takiej pomocy, wydania stosownego zaświadczenia oraz składania sprawozdań z udzielonej pomocy publicznej do właściwej instytucji spoczywa na Pośredniku Finansowym, zgodnie z </w:t>
      </w:r>
      <w:r w:rsidRPr="00A609E8">
        <w:rPr>
          <w:i/>
        </w:rPr>
        <w:t xml:space="preserve">Rozporządzeniem Rady Ministrów z dnia 23 grudnia 2009 r. w sprawie przekazywania sprawozdań o udzielonej pomocy publicznej i </w:t>
      </w:r>
      <w:r w:rsidRPr="00A609E8">
        <w:rPr>
          <w:i/>
        </w:rPr>
        <w:lastRenderedPageBreak/>
        <w:t>informacji o nieudzieleniu takiej pomocy z wykorzystaniem aplikacji SHRIMP</w:t>
      </w:r>
      <w:r w:rsidRPr="00817FA8">
        <w:t xml:space="preserve"> (Dz.U. 2014 poz. 59 z późniejszymi zmianami). </w:t>
      </w:r>
    </w:p>
    <w:p w14:paraId="53AAFB63" w14:textId="0DC8E2DE" w:rsidR="00AF15DD" w:rsidRDefault="00AF15DD" w:rsidP="00AF15DD">
      <w:pPr>
        <w:pStyle w:val="Akapitzlist"/>
        <w:spacing w:after="120" w:line="23" w:lineRule="atLeast"/>
        <w:jc w:val="both"/>
        <w:rPr>
          <w:u w:val="single"/>
        </w:rPr>
      </w:pPr>
      <w:r w:rsidRPr="00523ACB">
        <w:rPr>
          <w:u w:val="single"/>
        </w:rPr>
        <w:t>Oprocentowanie Jednostkowej Pożyczki na Inwestycje Rozwojowe udzielanej na zasadach korzystniejszych niż rynkowe jest stałe w całym okresie jej obowiązywania i jest równe stopie bazowej KE</w:t>
      </w:r>
      <w:r w:rsidRPr="00523ACB">
        <w:rPr>
          <w:rStyle w:val="Odwoanieprzypisudolnego"/>
          <w:u w:val="single"/>
        </w:rPr>
        <w:footnoteReference w:id="1"/>
      </w:r>
      <w:r w:rsidRPr="00523ACB">
        <w:rPr>
          <w:u w:val="single"/>
        </w:rPr>
        <w:t xml:space="preserve"> , obowiązującej w dniu zawarcia umowy Jednostkowej Pożyczki, powiększonej o marżę w wysokości 50 p.b.</w:t>
      </w:r>
    </w:p>
    <w:p w14:paraId="6EB40A41" w14:textId="77777777" w:rsidR="00F66628" w:rsidRPr="00523ACB" w:rsidRDefault="00F66628" w:rsidP="00AF15DD">
      <w:pPr>
        <w:pStyle w:val="Akapitzlist"/>
        <w:spacing w:after="120" w:line="23" w:lineRule="atLeast"/>
        <w:jc w:val="both"/>
        <w:rPr>
          <w:u w:val="single"/>
        </w:rPr>
      </w:pPr>
    </w:p>
    <w:p w14:paraId="617AF9A0" w14:textId="3BAEC53D" w:rsidR="00AF15DD" w:rsidRPr="00D7655E" w:rsidRDefault="00AF15DD" w:rsidP="006A6DE6">
      <w:pPr>
        <w:pStyle w:val="Akapitzlist"/>
        <w:numPr>
          <w:ilvl w:val="0"/>
          <w:numId w:val="40"/>
        </w:numPr>
        <w:spacing w:after="120" w:line="23" w:lineRule="atLeast"/>
        <w:ind w:left="1276" w:hanging="283"/>
        <w:jc w:val="both"/>
      </w:pPr>
      <w:r w:rsidRPr="00A609E8">
        <w:rPr>
          <w:b/>
        </w:rPr>
        <w:t xml:space="preserve">na zasadach rynkowych, </w:t>
      </w:r>
      <w:r w:rsidRPr="00FF1CAB">
        <w:t xml:space="preserve"> </w:t>
      </w:r>
      <w:r>
        <w:t xml:space="preserve">w </w:t>
      </w:r>
      <w:r w:rsidRPr="00FF1CAB">
        <w:t xml:space="preserve"> przypadku niespełnienia przez </w:t>
      </w:r>
      <w:r>
        <w:t>O</w:t>
      </w:r>
      <w:r w:rsidRPr="00FF1CAB">
        <w:t xml:space="preserve">statecznego </w:t>
      </w:r>
      <w:r>
        <w:t>O</w:t>
      </w:r>
      <w:r w:rsidRPr="00FF1CAB">
        <w:t xml:space="preserve">dbiorcę jakiegokolwiek z warunków umożliwiających udzielenie pomocy </w:t>
      </w:r>
      <w:r w:rsidRPr="00A609E8">
        <w:rPr>
          <w:i/>
        </w:rPr>
        <w:t xml:space="preserve">de minimis, </w:t>
      </w:r>
      <w:r w:rsidRPr="00FF1CAB">
        <w:t xml:space="preserve"> finansowanie jest udzielane</w:t>
      </w:r>
      <w:r w:rsidRPr="00A609E8">
        <w:rPr>
          <w:b/>
        </w:rPr>
        <w:t xml:space="preserve"> </w:t>
      </w:r>
      <w:r w:rsidRPr="00A609E8">
        <w:rPr>
          <w:u w:val="single"/>
        </w:rPr>
        <w:t>według stopy referencyjnej</w:t>
      </w:r>
      <w:r w:rsidRPr="00817FA8">
        <w:t xml:space="preserve"> obliczanej przy zastosowaniu obowiązującej stopy bazowej oraz marży ustalonej w oparciu o </w:t>
      </w:r>
      <w:r w:rsidRPr="00A609E8">
        <w:rPr>
          <w:iCs/>
        </w:rPr>
        <w:t>Komunikat Komisji Europejskiej w sprawie zmiany metody ustalania stóp referencyjnych i dyskontowych</w:t>
      </w:r>
      <w:r w:rsidRPr="00A609E8">
        <w:rPr>
          <w:i/>
          <w:iCs/>
        </w:rPr>
        <w:t xml:space="preserve"> </w:t>
      </w:r>
      <w:r w:rsidRPr="00817FA8">
        <w:t xml:space="preserve">(Dz. Urz. UE C 14 z 19.1.2008 r. lub komunikatu zastępującego) oraz po przeprowadzeniu analizy ryzyka niespłacenia zaciągniętego przez przedsiębiorcę zobowiązania </w:t>
      </w:r>
      <w:r w:rsidRPr="00A609E8">
        <w:rPr>
          <w:bCs/>
        </w:rPr>
        <w:t xml:space="preserve">na podstawie wdrożonej i akceptowanej w sektorze finansowym metodologii wyznaczania współczynnika ryzyka. </w:t>
      </w:r>
    </w:p>
    <w:p w14:paraId="3AD1809D" w14:textId="77777777" w:rsidR="00D7655E" w:rsidRPr="006E6235" w:rsidRDefault="00D7655E" w:rsidP="00D7655E">
      <w:pPr>
        <w:pStyle w:val="Akapitzlist"/>
        <w:spacing w:after="120" w:line="23" w:lineRule="atLeast"/>
        <w:ind w:left="1484"/>
        <w:jc w:val="both"/>
      </w:pPr>
    </w:p>
    <w:p w14:paraId="45C76836" w14:textId="77777777" w:rsidR="00AF15DD" w:rsidRPr="00817FA8" w:rsidRDefault="00AF15DD" w:rsidP="00AF15DD">
      <w:pPr>
        <w:pStyle w:val="Akapitzlist"/>
        <w:numPr>
          <w:ilvl w:val="0"/>
          <w:numId w:val="41"/>
        </w:numPr>
        <w:spacing w:after="120" w:line="23" w:lineRule="atLeast"/>
        <w:ind w:left="709"/>
        <w:jc w:val="both"/>
      </w:pPr>
      <w:r w:rsidRPr="00817FA8">
        <w:t xml:space="preserve">Od środków </w:t>
      </w:r>
      <w:r>
        <w:t>Jednostkowej Pożyczki na Inwestycje Rozwojowe</w:t>
      </w:r>
      <w:r w:rsidRPr="00817FA8" w:rsidDel="00441A47">
        <w:t xml:space="preserve"> </w:t>
      </w:r>
      <w:r w:rsidRPr="00817FA8">
        <w:t xml:space="preserve">nie pobiera się żadnych opłat i prowizji związanych z ich udostępnieniem i obsługą. </w:t>
      </w:r>
      <w:r>
        <w:t>Powyższe nie dotyczy odrębnie uregulowanych czynności windykacyjnych.</w:t>
      </w:r>
    </w:p>
    <w:p w14:paraId="0DF5A77A" w14:textId="77777777" w:rsidR="00AF15DD" w:rsidRDefault="00AF15DD" w:rsidP="00AF15DD">
      <w:pPr>
        <w:spacing w:after="120" w:line="23" w:lineRule="atLeast"/>
        <w:ind w:left="1068"/>
        <w:jc w:val="both"/>
      </w:pPr>
    </w:p>
    <w:p w14:paraId="2426AE37" w14:textId="77777777" w:rsidR="00AF15DD" w:rsidRPr="00AD2E51" w:rsidRDefault="00AF15DD" w:rsidP="00AF15DD">
      <w:pPr>
        <w:pStyle w:val="Akapitzlist"/>
        <w:spacing w:after="120" w:line="23" w:lineRule="atLeast"/>
        <w:contextualSpacing w:val="0"/>
        <w:jc w:val="both"/>
      </w:pPr>
    </w:p>
    <w:p w14:paraId="67166C7A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6BCBC727" w14:textId="77777777" w:rsidR="00854750" w:rsidRDefault="00854750" w:rsidP="00854750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854750" w14:paraId="48D15D92" w14:textId="77777777" w:rsidTr="00854750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A4154A" w14:textId="77777777" w:rsidR="00854750" w:rsidRDefault="00854750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854750" w14:paraId="418CA83A" w14:textId="77777777" w:rsidTr="00854750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FF91E4" w14:textId="77777777" w:rsidR="00854750" w:rsidRDefault="00854750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Podpis pośrednika finansowego</w:t>
            </w:r>
          </w:p>
        </w:tc>
      </w:tr>
    </w:tbl>
    <w:p w14:paraId="4C1E8F16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4B642CE9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5D1BD264" w14:textId="77777777" w:rsidR="00854750" w:rsidRDefault="00854750" w:rsidP="00854750">
      <w:pPr>
        <w:tabs>
          <w:tab w:val="num" w:pos="426"/>
        </w:tabs>
        <w:spacing w:after="120"/>
        <w:jc w:val="both"/>
      </w:pPr>
      <w:r>
        <w:t>Oświadczam, iż zapoznałem się z treścią niniejszego dokumentu:</w:t>
      </w:r>
    </w:p>
    <w:p w14:paraId="0F6327D0" w14:textId="77777777" w:rsidR="00854750" w:rsidRDefault="00854750" w:rsidP="00854750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854750" w14:paraId="608BBE7B" w14:textId="77777777" w:rsidTr="00854750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B1619" w14:textId="77777777" w:rsidR="00854750" w:rsidRDefault="00854750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854750" w14:paraId="5928AE71" w14:textId="77777777" w:rsidTr="00854750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17691F" w14:textId="74015AA1" w:rsidR="00854750" w:rsidRDefault="00854750" w:rsidP="00EE06EB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Podpis </w:t>
            </w:r>
            <w:r w:rsidR="00EE06EB">
              <w:rPr>
                <w:rFonts w:asciiTheme="minorHAnsi" w:eastAsiaTheme="minorHAnsi" w:hAnsiTheme="minorHAnsi"/>
                <w:sz w:val="16"/>
                <w:szCs w:val="16"/>
              </w:rPr>
              <w:t>pożyczkobiorcy</w:t>
            </w:r>
          </w:p>
        </w:tc>
      </w:tr>
    </w:tbl>
    <w:p w14:paraId="08B8F959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43D610F5" w14:textId="77777777" w:rsidR="00854750" w:rsidRPr="00F854F4" w:rsidRDefault="00854750" w:rsidP="00854750">
      <w:pPr>
        <w:tabs>
          <w:tab w:val="num" w:pos="426"/>
        </w:tabs>
        <w:spacing w:after="120"/>
        <w:jc w:val="both"/>
      </w:pPr>
    </w:p>
    <w:sectPr w:rsidR="00854750" w:rsidRPr="00F854F4" w:rsidSect="00003241">
      <w:headerReference w:type="default" r:id="rId8"/>
      <w:footerReference w:type="default" r:id="rId9"/>
      <w:pgSz w:w="11906" w:h="16838"/>
      <w:pgMar w:top="1417" w:right="1133" w:bottom="1135" w:left="1276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C89E" w14:textId="77777777" w:rsidR="00C217DA" w:rsidRDefault="00C217DA" w:rsidP="00BA3860">
      <w:pPr>
        <w:spacing w:after="0" w:line="240" w:lineRule="auto"/>
      </w:pPr>
      <w:r>
        <w:separator/>
      </w:r>
    </w:p>
  </w:endnote>
  <w:endnote w:type="continuationSeparator" w:id="0">
    <w:p w14:paraId="0DF7B4DD" w14:textId="77777777" w:rsidR="00C217DA" w:rsidRDefault="00C217DA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78532"/>
      <w:docPartObj>
        <w:docPartGallery w:val="Page Numbers (Bottom of Page)"/>
        <w:docPartUnique/>
      </w:docPartObj>
    </w:sdtPr>
    <w:sdtEndPr/>
    <w:sdtContent>
      <w:sdt>
        <w:sdtPr>
          <w:id w:val="2017958444"/>
          <w:docPartObj>
            <w:docPartGallery w:val="Page Numbers (Top of Page)"/>
            <w:docPartUnique/>
          </w:docPartObj>
        </w:sdtPr>
        <w:sdtEndPr/>
        <w:sdtContent>
          <w:p w14:paraId="6129A4DE" w14:textId="5D23105E" w:rsidR="00BE314D" w:rsidRDefault="00003241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D76B1BD" wp14:editId="5D8D6C4F">
                  <wp:extent cx="5670550" cy="305992"/>
                  <wp:effectExtent l="0" t="0" r="0" b="0"/>
                  <wp:docPr id="40" name="Obraz 40" descr="C:\Users\ezak\AppData\Local\Microsoft\Windows\Temporary Internet Files\Content.Word\belka_PR_RP_WP_BGK_EF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ak\AppData\Local\Microsoft\Windows\Temporary Internet Files\Content.Word\belka_PR_RP_WP_BGK_EF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30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14D">
              <w:t xml:space="preserve">Strona </w:t>
            </w:r>
            <w:r w:rsidR="00BE314D">
              <w:rPr>
                <w:b/>
                <w:bCs/>
                <w:sz w:val="24"/>
                <w:szCs w:val="24"/>
              </w:rPr>
              <w:fldChar w:fldCharType="begin"/>
            </w:r>
            <w:r w:rsidR="00BE314D">
              <w:rPr>
                <w:b/>
                <w:bCs/>
              </w:rPr>
              <w:instrText>PAGE</w:instrText>
            </w:r>
            <w:r w:rsidR="00BE314D">
              <w:rPr>
                <w:b/>
                <w:bCs/>
                <w:sz w:val="24"/>
                <w:szCs w:val="24"/>
              </w:rPr>
              <w:fldChar w:fldCharType="separate"/>
            </w:r>
            <w:r w:rsidR="009064F9">
              <w:rPr>
                <w:b/>
                <w:bCs/>
                <w:noProof/>
              </w:rPr>
              <w:t>4</w:t>
            </w:r>
            <w:r w:rsidR="00BE314D">
              <w:rPr>
                <w:b/>
                <w:bCs/>
                <w:sz w:val="24"/>
                <w:szCs w:val="24"/>
              </w:rPr>
              <w:fldChar w:fldCharType="end"/>
            </w:r>
            <w:r w:rsidR="00BE314D">
              <w:t xml:space="preserve"> z </w:t>
            </w:r>
            <w:r w:rsidR="00BE314D">
              <w:rPr>
                <w:b/>
                <w:bCs/>
                <w:sz w:val="24"/>
                <w:szCs w:val="24"/>
              </w:rPr>
              <w:fldChar w:fldCharType="begin"/>
            </w:r>
            <w:r w:rsidR="00BE314D">
              <w:rPr>
                <w:b/>
                <w:bCs/>
              </w:rPr>
              <w:instrText>NUMPAGES</w:instrText>
            </w:r>
            <w:r w:rsidR="00BE314D">
              <w:rPr>
                <w:b/>
                <w:bCs/>
                <w:sz w:val="24"/>
                <w:szCs w:val="24"/>
              </w:rPr>
              <w:fldChar w:fldCharType="separate"/>
            </w:r>
            <w:r w:rsidR="009064F9">
              <w:rPr>
                <w:b/>
                <w:bCs/>
                <w:noProof/>
              </w:rPr>
              <w:t>4</w:t>
            </w:r>
            <w:r w:rsidR="00BE31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08C2A" w14:textId="77777777" w:rsidR="005F6A70" w:rsidRDefault="005F6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4992" w14:textId="77777777" w:rsidR="00C217DA" w:rsidRDefault="00C217DA" w:rsidP="00BA3860">
      <w:pPr>
        <w:spacing w:after="0" w:line="240" w:lineRule="auto"/>
      </w:pPr>
      <w:r>
        <w:separator/>
      </w:r>
    </w:p>
  </w:footnote>
  <w:footnote w:type="continuationSeparator" w:id="0">
    <w:p w14:paraId="4A6CA770" w14:textId="77777777" w:rsidR="00C217DA" w:rsidRDefault="00C217DA" w:rsidP="00BA3860">
      <w:pPr>
        <w:spacing w:after="0" w:line="240" w:lineRule="auto"/>
      </w:pPr>
      <w:r>
        <w:continuationSeparator/>
      </w:r>
    </w:p>
  </w:footnote>
  <w:footnote w:id="1">
    <w:p w14:paraId="7AF644FA" w14:textId="77777777" w:rsidR="00AF15DD" w:rsidRDefault="00AF15DD" w:rsidP="00AF1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7E2">
        <w:t>stopa bazowa jest ogłaszana przez Komisję Europejską  zgodnie z Komunikatem Komisji w sprawie zmiany metody ustalania stóp referencyjnych i dyskontowych (Dz. Urz. UE C 14 z 19.1.2008 r., str. 6),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3220" w14:textId="1ADF5F49" w:rsidR="00584261" w:rsidRDefault="00003241">
    <w:pPr>
      <w:pStyle w:val="Nagwek"/>
    </w:pPr>
    <w:r w:rsidRPr="003A05C9">
      <w:rPr>
        <w:noProof/>
        <w:lang w:eastAsia="pl-PL"/>
      </w:rPr>
      <w:drawing>
        <wp:inline distT="0" distB="0" distL="0" distR="0" wp14:anchorId="60CA9A68" wp14:editId="579272DA">
          <wp:extent cx="1147314" cy="278244"/>
          <wp:effectExtent l="0" t="0" r="0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05" cy="30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CA96F15" wp14:editId="4B1741FC">
          <wp:extent cx="1155939" cy="263458"/>
          <wp:effectExtent l="0" t="0" r="635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07" cy="265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1F5"/>
    <w:multiLevelType w:val="hybridMultilevel"/>
    <w:tmpl w:val="73BE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1608D"/>
    <w:multiLevelType w:val="hybridMultilevel"/>
    <w:tmpl w:val="F2BCE0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711"/>
    <w:multiLevelType w:val="hybridMultilevel"/>
    <w:tmpl w:val="905CB4F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7A4796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4825"/>
    <w:multiLevelType w:val="hybridMultilevel"/>
    <w:tmpl w:val="2444C83E"/>
    <w:lvl w:ilvl="0" w:tplc="9E966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624E"/>
    <w:multiLevelType w:val="hybridMultilevel"/>
    <w:tmpl w:val="50869ABC"/>
    <w:lvl w:ilvl="0" w:tplc="A81A5E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72F"/>
    <w:multiLevelType w:val="hybridMultilevel"/>
    <w:tmpl w:val="C5BC5514"/>
    <w:lvl w:ilvl="0" w:tplc="0415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D97403B"/>
    <w:multiLevelType w:val="hybridMultilevel"/>
    <w:tmpl w:val="394A5A0C"/>
    <w:lvl w:ilvl="0" w:tplc="7228D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4930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293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05158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45BA"/>
    <w:multiLevelType w:val="hybridMultilevel"/>
    <w:tmpl w:val="68BC8732"/>
    <w:lvl w:ilvl="0" w:tplc="8A823C06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4C51"/>
    <w:multiLevelType w:val="hybridMultilevel"/>
    <w:tmpl w:val="F4F02AD2"/>
    <w:lvl w:ilvl="0" w:tplc="04150011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F291BC3"/>
    <w:multiLevelType w:val="hybridMultilevel"/>
    <w:tmpl w:val="90DCEEAC"/>
    <w:lvl w:ilvl="0" w:tplc="78C6CB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FD61965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14"/>
  </w:num>
  <w:num w:numId="5">
    <w:abstractNumId w:val="22"/>
  </w:num>
  <w:num w:numId="6">
    <w:abstractNumId w:val="28"/>
  </w:num>
  <w:num w:numId="7">
    <w:abstractNumId w:val="21"/>
  </w:num>
  <w:num w:numId="8">
    <w:abstractNumId w:val="19"/>
  </w:num>
  <w:num w:numId="9">
    <w:abstractNumId w:val="29"/>
  </w:num>
  <w:num w:numId="10">
    <w:abstractNumId w:val="36"/>
  </w:num>
  <w:num w:numId="11">
    <w:abstractNumId w:val="6"/>
  </w:num>
  <w:num w:numId="12">
    <w:abstractNumId w:val="35"/>
  </w:num>
  <w:num w:numId="13">
    <w:abstractNumId w:val="25"/>
  </w:num>
  <w:num w:numId="14">
    <w:abstractNumId w:val="12"/>
  </w:num>
  <w:num w:numId="15">
    <w:abstractNumId w:val="10"/>
  </w:num>
  <w:num w:numId="16">
    <w:abstractNumId w:val="26"/>
  </w:num>
  <w:num w:numId="17">
    <w:abstractNumId w:val="34"/>
  </w:num>
  <w:num w:numId="18">
    <w:abstractNumId w:val="33"/>
  </w:num>
  <w:num w:numId="19">
    <w:abstractNumId w:val="16"/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  <w:num w:numId="24">
    <w:abstractNumId w:val="18"/>
  </w:num>
  <w:num w:numId="25">
    <w:abstractNumId w:val="3"/>
  </w:num>
  <w:num w:numId="26">
    <w:abstractNumId w:val="27"/>
  </w:num>
  <w:num w:numId="27">
    <w:abstractNumId w:val="11"/>
  </w:num>
  <w:num w:numId="28">
    <w:abstractNumId w:val="9"/>
  </w:num>
  <w:num w:numId="29">
    <w:abstractNumId w:val="24"/>
  </w:num>
  <w:num w:numId="30">
    <w:abstractNumId w:val="23"/>
  </w:num>
  <w:num w:numId="31">
    <w:abstractNumId w:val="15"/>
  </w:num>
  <w:num w:numId="32">
    <w:abstractNumId w:val="38"/>
  </w:num>
  <w:num w:numId="33">
    <w:abstractNumId w:val="40"/>
  </w:num>
  <w:num w:numId="34">
    <w:abstractNumId w:val="37"/>
  </w:num>
  <w:num w:numId="35">
    <w:abstractNumId w:val="41"/>
  </w:num>
  <w:num w:numId="36">
    <w:abstractNumId w:val="30"/>
  </w:num>
  <w:num w:numId="37">
    <w:abstractNumId w:val="31"/>
  </w:num>
  <w:num w:numId="38">
    <w:abstractNumId w:val="7"/>
  </w:num>
  <w:num w:numId="39">
    <w:abstractNumId w:val="2"/>
  </w:num>
  <w:num w:numId="40">
    <w:abstractNumId w:val="39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6"/>
    <w:rsid w:val="00003241"/>
    <w:rsid w:val="00004BAA"/>
    <w:rsid w:val="00013256"/>
    <w:rsid w:val="00055219"/>
    <w:rsid w:val="000710BD"/>
    <w:rsid w:val="00097D21"/>
    <w:rsid w:val="000B60CD"/>
    <w:rsid w:val="000C1D62"/>
    <w:rsid w:val="000C3F38"/>
    <w:rsid w:val="000E11F1"/>
    <w:rsid w:val="0012340D"/>
    <w:rsid w:val="00130E21"/>
    <w:rsid w:val="00143B24"/>
    <w:rsid w:val="001458FD"/>
    <w:rsid w:val="001465A3"/>
    <w:rsid w:val="00192DD1"/>
    <w:rsid w:val="001B152A"/>
    <w:rsid w:val="001B440A"/>
    <w:rsid w:val="001B47D1"/>
    <w:rsid w:val="001D13C5"/>
    <w:rsid w:val="001D353E"/>
    <w:rsid w:val="001F0850"/>
    <w:rsid w:val="001F2BA6"/>
    <w:rsid w:val="001F499D"/>
    <w:rsid w:val="00216CDB"/>
    <w:rsid w:val="00220E6E"/>
    <w:rsid w:val="002341C7"/>
    <w:rsid w:val="00243BEF"/>
    <w:rsid w:val="00257186"/>
    <w:rsid w:val="002612FF"/>
    <w:rsid w:val="00286819"/>
    <w:rsid w:val="002B6A7C"/>
    <w:rsid w:val="002D1C48"/>
    <w:rsid w:val="002E0530"/>
    <w:rsid w:val="003077F0"/>
    <w:rsid w:val="0031356C"/>
    <w:rsid w:val="003408A3"/>
    <w:rsid w:val="003562D8"/>
    <w:rsid w:val="00375439"/>
    <w:rsid w:val="0038795D"/>
    <w:rsid w:val="003C1B34"/>
    <w:rsid w:val="00417A9B"/>
    <w:rsid w:val="00486BD1"/>
    <w:rsid w:val="00487DB3"/>
    <w:rsid w:val="00495F11"/>
    <w:rsid w:val="004B5158"/>
    <w:rsid w:val="004C6971"/>
    <w:rsid w:val="004D57D0"/>
    <w:rsid w:val="004D6CDD"/>
    <w:rsid w:val="004F4478"/>
    <w:rsid w:val="00532FE4"/>
    <w:rsid w:val="005365D8"/>
    <w:rsid w:val="0055197A"/>
    <w:rsid w:val="00551C05"/>
    <w:rsid w:val="00560B36"/>
    <w:rsid w:val="005719A4"/>
    <w:rsid w:val="005762B7"/>
    <w:rsid w:val="00584261"/>
    <w:rsid w:val="00594AE4"/>
    <w:rsid w:val="005A41DA"/>
    <w:rsid w:val="005B5A6E"/>
    <w:rsid w:val="005C057F"/>
    <w:rsid w:val="005C5724"/>
    <w:rsid w:val="005E7890"/>
    <w:rsid w:val="005E79B9"/>
    <w:rsid w:val="005F3EAE"/>
    <w:rsid w:val="005F4AA7"/>
    <w:rsid w:val="005F6A70"/>
    <w:rsid w:val="00614CDD"/>
    <w:rsid w:val="00623E3E"/>
    <w:rsid w:val="006265B3"/>
    <w:rsid w:val="006344E6"/>
    <w:rsid w:val="00634BB7"/>
    <w:rsid w:val="00636B37"/>
    <w:rsid w:val="00643AB7"/>
    <w:rsid w:val="00644CFD"/>
    <w:rsid w:val="00651A67"/>
    <w:rsid w:val="00671C14"/>
    <w:rsid w:val="00672E84"/>
    <w:rsid w:val="00675EC4"/>
    <w:rsid w:val="006839E1"/>
    <w:rsid w:val="006856FE"/>
    <w:rsid w:val="006A6DE6"/>
    <w:rsid w:val="006C69EF"/>
    <w:rsid w:val="006D1BB3"/>
    <w:rsid w:val="006E3D31"/>
    <w:rsid w:val="007133F1"/>
    <w:rsid w:val="007153D4"/>
    <w:rsid w:val="00730601"/>
    <w:rsid w:val="007418CD"/>
    <w:rsid w:val="00744A05"/>
    <w:rsid w:val="0075044C"/>
    <w:rsid w:val="007678C3"/>
    <w:rsid w:val="00771CA8"/>
    <w:rsid w:val="00784EB8"/>
    <w:rsid w:val="00793B17"/>
    <w:rsid w:val="007A1797"/>
    <w:rsid w:val="007A3B55"/>
    <w:rsid w:val="007F3476"/>
    <w:rsid w:val="007F762C"/>
    <w:rsid w:val="00806AAA"/>
    <w:rsid w:val="00817FA8"/>
    <w:rsid w:val="00835117"/>
    <w:rsid w:val="00842588"/>
    <w:rsid w:val="00851171"/>
    <w:rsid w:val="00854750"/>
    <w:rsid w:val="00854DE4"/>
    <w:rsid w:val="0087543C"/>
    <w:rsid w:val="00875729"/>
    <w:rsid w:val="00890ECA"/>
    <w:rsid w:val="00894447"/>
    <w:rsid w:val="00897B41"/>
    <w:rsid w:val="008D6546"/>
    <w:rsid w:val="008D7DD7"/>
    <w:rsid w:val="008F12C8"/>
    <w:rsid w:val="008F6C50"/>
    <w:rsid w:val="00905033"/>
    <w:rsid w:val="009064F9"/>
    <w:rsid w:val="009308FF"/>
    <w:rsid w:val="009321EF"/>
    <w:rsid w:val="00951184"/>
    <w:rsid w:val="009667C8"/>
    <w:rsid w:val="0098172F"/>
    <w:rsid w:val="0098437E"/>
    <w:rsid w:val="0098739F"/>
    <w:rsid w:val="00987B33"/>
    <w:rsid w:val="009B0147"/>
    <w:rsid w:val="009B44EA"/>
    <w:rsid w:val="009D5EA3"/>
    <w:rsid w:val="009F1B63"/>
    <w:rsid w:val="00A1317B"/>
    <w:rsid w:val="00A24218"/>
    <w:rsid w:val="00A34E7D"/>
    <w:rsid w:val="00A36964"/>
    <w:rsid w:val="00A40AF0"/>
    <w:rsid w:val="00A51C14"/>
    <w:rsid w:val="00A52321"/>
    <w:rsid w:val="00A542FC"/>
    <w:rsid w:val="00A543DB"/>
    <w:rsid w:val="00A66DF4"/>
    <w:rsid w:val="00A71845"/>
    <w:rsid w:val="00AA1717"/>
    <w:rsid w:val="00AD2E51"/>
    <w:rsid w:val="00AE1E45"/>
    <w:rsid w:val="00AE206C"/>
    <w:rsid w:val="00AE2F50"/>
    <w:rsid w:val="00AE7DAF"/>
    <w:rsid w:val="00AF15DD"/>
    <w:rsid w:val="00AF39A9"/>
    <w:rsid w:val="00B036B0"/>
    <w:rsid w:val="00B24BA7"/>
    <w:rsid w:val="00B27CBD"/>
    <w:rsid w:val="00B45306"/>
    <w:rsid w:val="00B77E7B"/>
    <w:rsid w:val="00B847E0"/>
    <w:rsid w:val="00B904C3"/>
    <w:rsid w:val="00B90701"/>
    <w:rsid w:val="00B966A6"/>
    <w:rsid w:val="00B968FB"/>
    <w:rsid w:val="00BA3860"/>
    <w:rsid w:val="00BB66EA"/>
    <w:rsid w:val="00BD38A0"/>
    <w:rsid w:val="00BE314D"/>
    <w:rsid w:val="00C02D1A"/>
    <w:rsid w:val="00C040E3"/>
    <w:rsid w:val="00C217DA"/>
    <w:rsid w:val="00C26735"/>
    <w:rsid w:val="00C36AA3"/>
    <w:rsid w:val="00C47D98"/>
    <w:rsid w:val="00C550F1"/>
    <w:rsid w:val="00C55797"/>
    <w:rsid w:val="00C72805"/>
    <w:rsid w:val="00C91D64"/>
    <w:rsid w:val="00C94198"/>
    <w:rsid w:val="00CB0854"/>
    <w:rsid w:val="00CC1E53"/>
    <w:rsid w:val="00CE36D6"/>
    <w:rsid w:val="00D06864"/>
    <w:rsid w:val="00D1560D"/>
    <w:rsid w:val="00D30604"/>
    <w:rsid w:val="00D41189"/>
    <w:rsid w:val="00D54BF0"/>
    <w:rsid w:val="00D55B08"/>
    <w:rsid w:val="00D60295"/>
    <w:rsid w:val="00D6349E"/>
    <w:rsid w:val="00D7655E"/>
    <w:rsid w:val="00D82267"/>
    <w:rsid w:val="00D904DE"/>
    <w:rsid w:val="00D94AF1"/>
    <w:rsid w:val="00D95379"/>
    <w:rsid w:val="00D954C3"/>
    <w:rsid w:val="00DB1308"/>
    <w:rsid w:val="00DC3B99"/>
    <w:rsid w:val="00DE57E0"/>
    <w:rsid w:val="00DF4B46"/>
    <w:rsid w:val="00E119F5"/>
    <w:rsid w:val="00E132AD"/>
    <w:rsid w:val="00E32329"/>
    <w:rsid w:val="00E572A7"/>
    <w:rsid w:val="00EB2075"/>
    <w:rsid w:val="00EB696A"/>
    <w:rsid w:val="00EC07BB"/>
    <w:rsid w:val="00EC3622"/>
    <w:rsid w:val="00ED33BE"/>
    <w:rsid w:val="00ED69E0"/>
    <w:rsid w:val="00EE06EB"/>
    <w:rsid w:val="00EE07F6"/>
    <w:rsid w:val="00EE2193"/>
    <w:rsid w:val="00EE7D30"/>
    <w:rsid w:val="00EF5F4D"/>
    <w:rsid w:val="00EF6AE0"/>
    <w:rsid w:val="00F16B73"/>
    <w:rsid w:val="00F25628"/>
    <w:rsid w:val="00F348B2"/>
    <w:rsid w:val="00F60DBF"/>
    <w:rsid w:val="00F66628"/>
    <w:rsid w:val="00F84B8F"/>
    <w:rsid w:val="00F854F4"/>
    <w:rsid w:val="00F92B94"/>
    <w:rsid w:val="00FB10B5"/>
    <w:rsid w:val="00FB2DCE"/>
    <w:rsid w:val="00FD1A3D"/>
    <w:rsid w:val="00FE2F8A"/>
    <w:rsid w:val="00FF1CAB"/>
    <w:rsid w:val="00FF2FB9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67D241BB-955E-490F-B141-269EC69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70"/>
  </w:style>
  <w:style w:type="paragraph" w:styleId="Stopka">
    <w:name w:val="footer"/>
    <w:basedOn w:val="Normalny"/>
    <w:link w:val="StopkaZnak"/>
    <w:uiPriority w:val="99"/>
    <w:unhideWhenUsed/>
    <w:rsid w:val="005F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70"/>
  </w:style>
  <w:style w:type="character" w:customStyle="1" w:styleId="AkapitzlistZnak">
    <w:name w:val="Akapit z listą Znak"/>
    <w:link w:val="Akapitzlist"/>
    <w:uiPriority w:val="99"/>
    <w:locked/>
    <w:rsid w:val="0077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5A3F-612D-45BB-A0CE-C1AB26E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Elżbieta Ciołko</cp:lastModifiedBy>
  <cp:revision>5</cp:revision>
  <cp:lastPrinted>2017-01-26T11:54:00Z</cp:lastPrinted>
  <dcterms:created xsi:type="dcterms:W3CDTF">2018-11-30T07:54:00Z</dcterms:created>
  <dcterms:modified xsi:type="dcterms:W3CDTF">2019-02-14T10:46:00Z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156a8-d08e-4ee8-bb9e-66a7c9bb89ce_Enabled">
    <vt:lpwstr>True</vt:lpwstr>
  </property>
  <property fmtid="{D5CDD505-2E9C-101B-9397-08002B2CF9AE}" pid="3" name="MSIP_Label_a8d156a8-d08e-4ee8-bb9e-66a7c9bb89ce_SiteId">
    <vt:lpwstr>29bb5b9c-200a-4906-89ef-c651c86ab301</vt:lpwstr>
  </property>
  <property fmtid="{D5CDD505-2E9C-101B-9397-08002B2CF9AE}" pid="4" name="MSIP_Label_a8d156a8-d08e-4ee8-bb9e-66a7c9bb89ce_Ref">
    <vt:lpwstr>https://api.informationprotection.azure.com/api/29bb5b9c-200a-4906-89ef-c651c86ab301</vt:lpwstr>
  </property>
  <property fmtid="{D5CDD505-2E9C-101B-9397-08002B2CF9AE}" pid="5" name="MSIP_Label_a8d156a8-d08e-4ee8-bb9e-66a7c9bb89ce_Owner">
    <vt:lpwstr>ebien@bank.com.pl</vt:lpwstr>
  </property>
  <property fmtid="{D5CDD505-2E9C-101B-9397-08002B2CF9AE}" pid="6" name="MSIP_Label_a8d156a8-d08e-4ee8-bb9e-66a7c9bb89ce_SetDate">
    <vt:lpwstr>2018-04-16T15:21:38.5750428+02:00</vt:lpwstr>
  </property>
  <property fmtid="{D5CDD505-2E9C-101B-9397-08002B2CF9AE}" pid="7" name="MSIP_Label_a8d156a8-d08e-4ee8-bb9e-66a7c9bb89ce_Name">
    <vt:lpwstr>Żółta</vt:lpwstr>
  </property>
  <property fmtid="{D5CDD505-2E9C-101B-9397-08002B2CF9AE}" pid="8" name="MSIP_Label_a8d156a8-d08e-4ee8-bb9e-66a7c9bb89ce_Application">
    <vt:lpwstr>Microsoft Azure Information Protection</vt:lpwstr>
  </property>
  <property fmtid="{D5CDD505-2E9C-101B-9397-08002B2CF9AE}" pid="9" name="MSIP_Label_a8d156a8-d08e-4ee8-bb9e-66a7c9bb89ce_Extended_MSFT_Method">
    <vt:lpwstr>Manual</vt:lpwstr>
  </property>
  <property fmtid="{D5CDD505-2E9C-101B-9397-08002B2CF9AE}" pid="10" name="MSIP_Label_7fe4c472-f473-4638-9910-ca0b437934d7_Enabled">
    <vt:lpwstr>True</vt:lpwstr>
  </property>
  <property fmtid="{D5CDD505-2E9C-101B-9397-08002B2CF9AE}" pid="11" name="MSIP_Label_7fe4c472-f473-4638-9910-ca0b437934d7_SiteId">
    <vt:lpwstr>29bb5b9c-200a-4906-89ef-c651c86ab301</vt:lpwstr>
  </property>
  <property fmtid="{D5CDD505-2E9C-101B-9397-08002B2CF9AE}" pid="12" name="MSIP_Label_7fe4c472-f473-4638-9910-ca0b437934d7_Ref">
    <vt:lpwstr>https://api.informationprotection.azure.com/api/29bb5b9c-200a-4906-89ef-c651c86ab301</vt:lpwstr>
  </property>
  <property fmtid="{D5CDD505-2E9C-101B-9397-08002B2CF9AE}" pid="13" name="MSIP_Label_7fe4c472-f473-4638-9910-ca0b437934d7_Owner">
    <vt:lpwstr>ebien@bank.com.pl</vt:lpwstr>
  </property>
  <property fmtid="{D5CDD505-2E9C-101B-9397-08002B2CF9AE}" pid="14" name="MSIP_Label_7fe4c472-f473-4638-9910-ca0b437934d7_SetDate">
    <vt:lpwstr>2018-04-16T15:21:38.5890146+02:00</vt:lpwstr>
  </property>
  <property fmtid="{D5CDD505-2E9C-101B-9397-08002B2CF9AE}" pid="15" name="MSIP_Label_7fe4c472-f473-4638-9910-ca0b437934d7_Name">
    <vt:lpwstr>Informacje wewnętrzne</vt:lpwstr>
  </property>
  <property fmtid="{D5CDD505-2E9C-101B-9397-08002B2CF9AE}" pid="16" name="MSIP_Label_7fe4c472-f473-4638-9910-ca0b437934d7_Application">
    <vt:lpwstr>Microsoft Azure Information Protection</vt:lpwstr>
  </property>
  <property fmtid="{D5CDD505-2E9C-101B-9397-08002B2CF9AE}" pid="17" name="MSIP_Label_7fe4c472-f473-4638-9910-ca0b437934d7_Extended_MSFT_Method">
    <vt:lpwstr>Manual</vt:lpwstr>
  </property>
  <property fmtid="{D5CDD505-2E9C-101B-9397-08002B2CF9AE}" pid="18" name="MSIP_Label_7fe4c472-f473-4638-9910-ca0b437934d7_Parent">
    <vt:lpwstr>a8d156a8-d08e-4ee8-bb9e-66a7c9bb89ce</vt:lpwstr>
  </property>
  <property fmtid="{D5CDD505-2E9C-101B-9397-08002B2CF9AE}" pid="19" name="Sensitivity">
    <vt:lpwstr>Żółta Informacje wewnętrzne</vt:lpwstr>
  </property>
</Properties>
</file>