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9" w:rsidRPr="00DA350E" w:rsidRDefault="00DA350E" w:rsidP="00F579D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A350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810260</wp:posOffset>
            </wp:positionH>
            <wp:positionV relativeFrom="page">
              <wp:posOffset>360045</wp:posOffset>
            </wp:positionV>
            <wp:extent cx="1146810" cy="27813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D9" w:rsidRPr="00DA350E" w:rsidRDefault="00F579D9" w:rsidP="00F579D9">
      <w:pPr>
        <w:pStyle w:val="Nagwek1"/>
        <w:spacing w:line="276" w:lineRule="auto"/>
        <w:rPr>
          <w:rFonts w:asciiTheme="minorHAnsi" w:hAnsiTheme="minorHAnsi" w:cstheme="minorHAnsi"/>
        </w:rPr>
      </w:pPr>
      <w:r w:rsidRPr="00DA350E">
        <w:rPr>
          <w:rFonts w:asciiTheme="minorHAnsi" w:hAnsiTheme="minorHAnsi" w:cstheme="minorHAnsi"/>
        </w:rPr>
        <w:t>OŚWIADCZENIE O SPEŁNIANIU KRYTERIÓW MSP</w:t>
      </w:r>
      <w:r w:rsidRPr="00DA350E">
        <w:rPr>
          <w:rFonts w:asciiTheme="minorHAnsi" w:hAnsiTheme="minorHAnsi" w:cstheme="minorHAnsi"/>
        </w:rPr>
        <w:br/>
      </w:r>
    </w:p>
    <w:p w:rsidR="00DA350E" w:rsidRPr="00DA350E" w:rsidRDefault="00F579D9" w:rsidP="00DA350E">
      <w:pPr>
        <w:spacing w:line="276" w:lineRule="auto"/>
        <w:ind w:left="4" w:firstLine="704"/>
        <w:jc w:val="both"/>
        <w:rPr>
          <w:rFonts w:eastAsia="Verdana" w:cstheme="minorHAnsi"/>
          <w:sz w:val="20"/>
          <w:szCs w:val="20"/>
        </w:rPr>
      </w:pPr>
      <w:r w:rsidRPr="00DA350E">
        <w:rPr>
          <w:rFonts w:cstheme="minorHAnsi"/>
          <w:sz w:val="20"/>
          <w:szCs w:val="20"/>
        </w:rPr>
        <w:t>W związku z ubieganiem się  o  </w:t>
      </w:r>
      <w:r w:rsidR="009032BE" w:rsidRPr="00DA350E">
        <w:rPr>
          <w:rFonts w:cstheme="minorHAnsi"/>
          <w:sz w:val="20"/>
          <w:szCs w:val="20"/>
        </w:rPr>
        <w:t>pożyczkę</w:t>
      </w:r>
      <w:r w:rsidR="00DA350E" w:rsidRPr="00DA350E">
        <w:rPr>
          <w:rFonts w:cstheme="minorHAnsi"/>
          <w:sz w:val="20"/>
          <w:szCs w:val="20"/>
        </w:rPr>
        <w:t xml:space="preserve"> w ramach </w:t>
      </w:r>
      <w:r w:rsidR="00611245" w:rsidRPr="00DA350E">
        <w:rPr>
          <w:rFonts w:cstheme="minorHAnsi"/>
          <w:sz w:val="20"/>
          <w:szCs w:val="20"/>
        </w:rPr>
        <w:t xml:space="preserve"> </w:t>
      </w:r>
      <w:r w:rsidR="00DA350E" w:rsidRPr="00DA350E">
        <w:rPr>
          <w:rFonts w:cstheme="minorHAnsi"/>
          <w:sz w:val="20"/>
          <w:szCs w:val="20"/>
        </w:rPr>
        <w:t xml:space="preserve"> </w:t>
      </w:r>
      <w:r w:rsidR="00DA350E" w:rsidRPr="00DA350E">
        <w:rPr>
          <w:rFonts w:eastAsia="Verdana" w:cstheme="minorHAnsi"/>
          <w:sz w:val="20"/>
          <w:szCs w:val="20"/>
        </w:rPr>
        <w:t>Instrumentu Finansowego „Pożyczka Termomodernizacyjna dla Przedsiębiorstw”, ze środków pochodzących z wkładu wniesionego w ramach Regionalnego Programu Operacyjnego Województw</w:t>
      </w:r>
      <w:r w:rsidR="00DA350E" w:rsidRPr="00DA350E">
        <w:rPr>
          <w:rFonts w:eastAsia="Verdana" w:cstheme="minorHAnsi"/>
          <w:sz w:val="20"/>
          <w:szCs w:val="20"/>
        </w:rPr>
        <w:t>a Podlaskiego na lata 2014-2020</w:t>
      </w:r>
      <w:r w:rsidR="00DA350E">
        <w:rPr>
          <w:rFonts w:eastAsia="Verdana" w:cstheme="minorHAnsi"/>
          <w:sz w:val="20"/>
          <w:szCs w:val="20"/>
        </w:rPr>
        <w:t xml:space="preserve">, </w:t>
      </w:r>
    </w:p>
    <w:p w:rsidR="00F579D9" w:rsidRPr="00DA350E" w:rsidRDefault="00F579D9" w:rsidP="00611245">
      <w:pPr>
        <w:pStyle w:val="Tekstpodstawowy"/>
        <w:spacing w:line="276" w:lineRule="auto"/>
        <w:rPr>
          <w:rFonts w:asciiTheme="minorHAnsi" w:hAnsiTheme="minorHAnsi" w:cstheme="minorHAnsi"/>
        </w:rPr>
      </w:pPr>
    </w:p>
    <w:tbl>
      <w:tblPr>
        <w:tblW w:w="919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491"/>
      </w:tblGrid>
      <w:tr w:rsidR="00F579D9" w:rsidRPr="00DA350E" w:rsidTr="00611245">
        <w:trPr>
          <w:trHeight w:val="1143"/>
        </w:trPr>
        <w:tc>
          <w:tcPr>
            <w:tcW w:w="2706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579D9" w:rsidRPr="00DA350E" w:rsidRDefault="00F579D9" w:rsidP="00151E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350E">
              <w:rPr>
                <w:rFonts w:cstheme="minorHAnsi"/>
                <w:b/>
                <w:sz w:val="16"/>
                <w:szCs w:val="16"/>
              </w:rPr>
              <w:t>NAZWA, STATUS PRAWNY, ADRES WNIOSKODAWCY</w:t>
            </w:r>
          </w:p>
        </w:tc>
        <w:tc>
          <w:tcPr>
            <w:tcW w:w="6491" w:type="dxa"/>
          </w:tcPr>
          <w:p w:rsidR="00F579D9" w:rsidRPr="00DA350E" w:rsidRDefault="00F579D9" w:rsidP="00151E6C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:rsidR="00F579D9" w:rsidRPr="00DA350E" w:rsidRDefault="00F579D9" w:rsidP="00F579D9">
      <w:pPr>
        <w:rPr>
          <w:rFonts w:cstheme="minorHAnsi"/>
          <w:sz w:val="16"/>
          <w:szCs w:val="16"/>
        </w:rPr>
      </w:pPr>
      <w:r w:rsidRPr="00DA350E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9D9" w:rsidRPr="00DA350E" w:rsidRDefault="00F579D9" w:rsidP="00DA350E">
      <w:pPr>
        <w:spacing w:after="200" w:line="276" w:lineRule="auto"/>
        <w:rPr>
          <w:rFonts w:cstheme="minorHAnsi"/>
          <w:spacing w:val="-2"/>
          <w:sz w:val="20"/>
          <w:szCs w:val="20"/>
        </w:rPr>
      </w:pPr>
      <w:r w:rsidRPr="00DA350E">
        <w:rPr>
          <w:rFonts w:cstheme="minorHAnsi"/>
          <w:spacing w:val="-2"/>
          <w:sz w:val="20"/>
          <w:szCs w:val="20"/>
        </w:rPr>
        <w:t>pouczony o treści art. 297 Kodeksu karnego i świadomy odpowiedz</w:t>
      </w:r>
      <w:bookmarkStart w:id="0" w:name="_GoBack"/>
      <w:bookmarkEnd w:id="0"/>
      <w:r w:rsidRPr="00DA350E">
        <w:rPr>
          <w:rFonts w:cstheme="minorHAnsi"/>
          <w:spacing w:val="-2"/>
          <w:sz w:val="20"/>
          <w:szCs w:val="20"/>
        </w:rPr>
        <w:t>ialności karnej za podanie nieprawdziwych informacji, wynikającej z postanowień tego artykułu, oświadczam, że:</w:t>
      </w:r>
    </w:p>
    <w:tbl>
      <w:tblPr>
        <w:tblW w:w="9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268"/>
        <w:gridCol w:w="2271"/>
      </w:tblGrid>
      <w:tr w:rsidR="00F579D9" w:rsidRPr="00DA350E" w:rsidTr="00A50F5F">
        <w:trPr>
          <w:trHeight w:val="105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DA350E" w:rsidRDefault="00611245" w:rsidP="00151E6C">
            <w:pPr>
              <w:pStyle w:val="Tekstpodstawowy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F579D9" w:rsidRPr="00DA35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  <w:r w:rsidR="00F579D9"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Jestem </w:t>
            </w:r>
            <w:proofErr w:type="spellStart"/>
            <w:r w:rsidR="00F579D9" w:rsidRPr="00DA350E">
              <w:rPr>
                <w:rFonts w:asciiTheme="minorHAnsi" w:hAnsiTheme="minorHAnsi" w:cstheme="minorHAnsi"/>
                <w:sz w:val="16"/>
                <w:szCs w:val="16"/>
              </w:rPr>
              <w:t>przedsiębiorstwem</w:t>
            </w:r>
            <w:proofErr w:type="spellEnd"/>
            <w:r w:rsidR="00F579D9"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79D9" w:rsidRPr="00DA35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spełniającym warunki określone w Załączniku I do Rozporządzenia Komisji (UE) Nr 651/2014 z dnia 17 czerwca 2014 r. uznającego niektóre rodzaje pomocy za zgodne z rynkiem wewnętrznym w zastosowaniu art. 107 i 108  Traktatu </w:t>
            </w:r>
            <w:r w:rsidR="00F579D9" w:rsidRPr="00DA350E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(Dz. Urz. UE nr L 187 z 26.06.2014r.)</w:t>
            </w:r>
            <w:r w:rsidR="00F579D9" w:rsidRPr="00DA350E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F579D9" w:rsidRPr="00DA350E">
              <w:rPr>
                <w:rStyle w:val="Odwoanieprzypisukocowego"/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endnoteReference w:id="1"/>
            </w:r>
          </w:p>
        </w:tc>
        <w:tc>
          <w:tcPr>
            <w:tcW w:w="4539" w:type="dxa"/>
            <w:gridSpan w:val="2"/>
          </w:tcPr>
          <w:p w:rsidR="00F579D9" w:rsidRPr="00DA350E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t xml:space="preserve">      </w:t>
            </w:r>
            <w:r w:rsidR="00611245" w:rsidRPr="00DA350E">
              <w:rPr>
                <w:rFonts w:cstheme="minorHAnsi"/>
                <w:bCs/>
                <w:sz w:val="16"/>
                <w:szCs w:val="16"/>
              </w:rPr>
              <w:br/>
              <w:t xml:space="preserve">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MIKRO PRZEDSIĘBIORSTWO   </w:t>
            </w:r>
          </w:p>
          <w:p w:rsidR="00F579D9" w:rsidRPr="00DA350E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MAŁE PRZEDSIĘBIORSTWO   </w:t>
            </w:r>
          </w:p>
          <w:p w:rsidR="00F579D9" w:rsidRPr="00DA350E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t xml:space="preserve">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ŚREDNIE PRZEDSIĘBIORSTWO   </w:t>
            </w:r>
          </w:p>
        </w:tc>
      </w:tr>
      <w:tr w:rsidR="00F579D9" w:rsidRPr="00DA350E" w:rsidTr="00A50F5F">
        <w:trPr>
          <w:trHeight w:hRule="exact" w:val="713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>2.</w:t>
            </w:r>
            <w:r w:rsidRPr="00DA350E">
              <w:rPr>
                <w:rFonts w:cstheme="minorHAnsi"/>
                <w:sz w:val="16"/>
                <w:szCs w:val="16"/>
              </w:rPr>
              <w:t xml:space="preserve"> </w:t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Jestem przedsiębiorstwem samodzielnym/ niezależnym </w:t>
            </w:r>
            <w:r w:rsidRPr="00DA350E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2"/>
            </w:r>
          </w:p>
        </w:tc>
        <w:tc>
          <w:tcPr>
            <w:tcW w:w="4539" w:type="dxa"/>
            <w:gridSpan w:val="2"/>
          </w:tcPr>
          <w:p w:rsidR="00F579D9" w:rsidRPr="00DA350E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DA350E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DA350E" w:rsidRDefault="00F579D9" w:rsidP="00151E6C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</w:tc>
      </w:tr>
      <w:tr w:rsidR="00F579D9" w:rsidRPr="00DA350E" w:rsidTr="00A50F5F">
        <w:trPr>
          <w:trHeight w:val="1117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3. Pozostaje w relacji przedsiębiorstw/ podmiotów partnerskich </w:t>
            </w:r>
            <w:r w:rsidRPr="00DA350E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3"/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DA350E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DA350E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350E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partnerskich)</w:t>
            </w:r>
          </w:p>
        </w:tc>
        <w:tc>
          <w:tcPr>
            <w:tcW w:w="4539" w:type="dxa"/>
            <w:gridSpan w:val="2"/>
          </w:tcPr>
          <w:p w:rsidR="00F579D9" w:rsidRPr="00DA350E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DA350E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DA350E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DA350E" w:rsidTr="00A50F5F"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>4.</w:t>
            </w:r>
            <w:r w:rsidRPr="00DA350E">
              <w:rPr>
                <w:rFonts w:cstheme="minorHAnsi"/>
                <w:sz w:val="16"/>
                <w:szCs w:val="16"/>
              </w:rPr>
              <w:t xml:space="preserve"> </w:t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Pozostaje w relacji przedsiębiorstw/ podmiotów powiązanych </w:t>
            </w:r>
            <w:r w:rsidRPr="00DA350E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4"/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 z</w:t>
            </w:r>
            <w:r w:rsidRPr="00DA350E">
              <w:rPr>
                <w:rFonts w:cstheme="minorHAnsi"/>
                <w:sz w:val="16"/>
                <w:szCs w:val="16"/>
              </w:rPr>
              <w:t>: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>- …………………………………………………………………………</w:t>
            </w:r>
          </w:p>
          <w:p w:rsidR="00F579D9" w:rsidRPr="00DA350E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A350E">
              <w:rPr>
                <w:rFonts w:cstheme="minorHAnsi"/>
                <w:i/>
                <w:iCs/>
                <w:sz w:val="16"/>
                <w:szCs w:val="16"/>
              </w:rPr>
              <w:t>(jeżeli „tak” podaj nazwy podmiotów związanych)</w:t>
            </w:r>
          </w:p>
        </w:tc>
        <w:tc>
          <w:tcPr>
            <w:tcW w:w="4539" w:type="dxa"/>
            <w:gridSpan w:val="2"/>
          </w:tcPr>
          <w:p w:rsidR="00F579D9" w:rsidRPr="00DA350E" w:rsidRDefault="00F579D9" w:rsidP="00151E6C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:rsidR="00F579D9" w:rsidRPr="00DA350E" w:rsidRDefault="00F579D9" w:rsidP="00151E6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F579D9" w:rsidRPr="00DA350E" w:rsidRDefault="00F579D9" w:rsidP="00151E6C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  <w:tr w:rsidR="00F579D9" w:rsidRPr="00DA350E" w:rsidTr="00A50F5F">
        <w:trPr>
          <w:cantSplit/>
          <w:trHeight w:val="585"/>
        </w:trPr>
        <w:tc>
          <w:tcPr>
            <w:tcW w:w="2547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Dane stosowane do określenia kategorii MSP </w:t>
            </w:r>
            <w:r w:rsidRPr="00DA350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6"/>
              </w:rPr>
              <w:endnoteReference w:id="5"/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bCs w:val="0"/>
                <w:sz w:val="16"/>
                <w:szCs w:val="16"/>
              </w:rPr>
              <w:t>W ostatnim okresie sprawozdawczym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DA350E" w:rsidRDefault="00F579D9" w:rsidP="00151E6C">
            <w:pPr>
              <w:pStyle w:val="Tekstpodstawowy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bCs w:val="0"/>
                <w:sz w:val="16"/>
                <w:szCs w:val="16"/>
              </w:rPr>
              <w:t>W poprzednim okresie sprawozdawczym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579D9" w:rsidRPr="00DA350E" w:rsidRDefault="00F579D9" w:rsidP="00151E6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b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F579D9" w:rsidRPr="00DA350E" w:rsidTr="00A50F5F">
        <w:trPr>
          <w:cantSplit/>
          <w:trHeight w:val="949"/>
        </w:trPr>
        <w:tc>
          <w:tcPr>
            <w:tcW w:w="2547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>5.</w:t>
            </w:r>
            <w:r w:rsidRPr="00DA350E">
              <w:rPr>
                <w:rFonts w:cstheme="minorHAnsi"/>
                <w:sz w:val="16"/>
                <w:szCs w:val="16"/>
              </w:rPr>
              <w:t xml:space="preserve"> </w:t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Wielkość zatrudnienia </w:t>
            </w:r>
            <w:r w:rsidRPr="00DA350E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6"/>
            </w:r>
          </w:p>
          <w:p w:rsidR="00F579D9" w:rsidRPr="00DA350E" w:rsidRDefault="00F579D9" w:rsidP="00151E6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10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10 do 49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 od 50 do 249</w:t>
            </w:r>
          </w:p>
        </w:tc>
      </w:tr>
      <w:tr w:rsidR="00F579D9" w:rsidRPr="00DA350E" w:rsidTr="00A50F5F">
        <w:trPr>
          <w:cantSplit/>
          <w:trHeight w:val="954"/>
        </w:trPr>
        <w:tc>
          <w:tcPr>
            <w:tcW w:w="2547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6.  Obroty ze sprzedaży netto </w:t>
            </w:r>
            <w:r w:rsidRPr="00DA350E">
              <w:rPr>
                <w:rStyle w:val="Odwoanieprzypisukocowego"/>
                <w:rFonts w:cstheme="minorHAnsi"/>
                <w:b/>
                <w:bCs/>
                <w:sz w:val="16"/>
                <w:szCs w:val="16"/>
              </w:rPr>
              <w:endnoteReference w:id="7"/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 xml:space="preserve">      </w:t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br/>
              <w:t xml:space="preserve">    </w:t>
            </w:r>
            <w:r w:rsidRPr="00DA350E">
              <w:rPr>
                <w:rFonts w:cstheme="minorHAnsi"/>
                <w:i/>
                <w:iCs/>
                <w:sz w:val="16"/>
                <w:szCs w:val="16"/>
              </w:rPr>
              <w:t xml:space="preserve">(w tys. EUR na koniec roku </w:t>
            </w:r>
            <w:r w:rsidRPr="00DA350E">
              <w:rPr>
                <w:rFonts w:cstheme="minorHAnsi"/>
                <w:i/>
                <w:iCs/>
                <w:sz w:val="16"/>
                <w:szCs w:val="16"/>
              </w:rPr>
              <w:br/>
              <w:t xml:space="preserve">    obrotowego)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 </w:t>
            </w:r>
            <w:r w:rsidRPr="00DA35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DA350E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 </w:t>
            </w:r>
            <w:r w:rsidRPr="00DA35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DA350E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 </w:t>
            </w:r>
            <w:r w:rsidRPr="00DA350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mln</w:t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Euro</w:t>
            </w:r>
          </w:p>
          <w:p w:rsidR="00F579D9" w:rsidRPr="00DA350E" w:rsidRDefault="00F579D9" w:rsidP="00151E6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od 2 do 9,99 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49,99mln Euro</w:t>
            </w:r>
          </w:p>
        </w:tc>
      </w:tr>
      <w:tr w:rsidR="00F579D9" w:rsidRPr="00DA350E" w:rsidTr="00A50F5F">
        <w:trPr>
          <w:cantSplit/>
          <w:trHeight w:val="707"/>
        </w:trPr>
        <w:tc>
          <w:tcPr>
            <w:tcW w:w="2547" w:type="dxa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t>7.</w:t>
            </w:r>
            <w:r w:rsidRPr="00DA350E">
              <w:rPr>
                <w:rFonts w:cstheme="minorHAnsi"/>
                <w:sz w:val="16"/>
                <w:szCs w:val="16"/>
              </w:rPr>
              <w:t xml:space="preserve"> </w:t>
            </w:r>
            <w:r w:rsidRPr="00DA350E">
              <w:rPr>
                <w:rFonts w:cstheme="minorHAnsi"/>
                <w:b/>
                <w:bCs/>
                <w:sz w:val="16"/>
                <w:szCs w:val="16"/>
              </w:rPr>
              <w:t>Suma aktywów bilansu</w:t>
            </w:r>
            <w:r w:rsidRPr="00DA350E">
              <w:rPr>
                <w:rFonts w:cstheme="minorHAnsi"/>
                <w:sz w:val="16"/>
                <w:szCs w:val="16"/>
              </w:rPr>
              <w:t xml:space="preserve">  </w:t>
            </w:r>
            <w:r w:rsidRPr="00DA350E">
              <w:rPr>
                <w:rFonts w:cstheme="minorHAnsi"/>
                <w:sz w:val="16"/>
                <w:szCs w:val="16"/>
              </w:rPr>
              <w:br/>
              <w:t xml:space="preserve">   </w:t>
            </w:r>
            <w:r w:rsidRPr="00DA350E">
              <w:rPr>
                <w:rFonts w:cstheme="minorHAnsi"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126" w:type="dxa"/>
            <w:shd w:val="clear" w:color="auto" w:fill="auto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2 do 9,99 mln Euro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579D9" w:rsidRPr="00DA350E" w:rsidRDefault="00F579D9" w:rsidP="00151E6C">
            <w:pPr>
              <w:pStyle w:val="Tekstpodstawowy"/>
              <w:tabs>
                <w:tab w:val="right" w:pos="396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A350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>poniżej</w:t>
            </w:r>
            <w:proofErr w:type="spellEnd"/>
            <w:r w:rsidRPr="00DA350E">
              <w:rPr>
                <w:rFonts w:asciiTheme="minorHAnsi" w:hAnsiTheme="minorHAnsi" w:cstheme="minorHAnsi"/>
                <w:sz w:val="16"/>
                <w:szCs w:val="16"/>
              </w:rPr>
              <w:t xml:space="preserve"> 2mln Euro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2 do 9,99 mln Euro     </w:t>
            </w:r>
            <w:r w:rsidRPr="00DA350E">
              <w:rPr>
                <w:rFonts w:cstheme="minorHAnsi"/>
                <w:sz w:val="16"/>
                <w:szCs w:val="16"/>
              </w:rPr>
              <w:br/>
            </w:r>
            <w:r w:rsidRPr="00DA350E">
              <w:rPr>
                <w:rFonts w:cstheme="minorHAnsi"/>
                <w:sz w:val="16"/>
                <w:szCs w:val="16"/>
              </w:rPr>
              <w:sym w:font="Symbol" w:char="F0FF"/>
            </w:r>
            <w:r w:rsidRPr="00DA350E">
              <w:rPr>
                <w:rFonts w:cstheme="minorHAnsi"/>
                <w:sz w:val="16"/>
                <w:szCs w:val="16"/>
              </w:rPr>
              <w:t xml:space="preserve"> od 10 do 43 mln Euro</w:t>
            </w:r>
          </w:p>
        </w:tc>
      </w:tr>
      <w:tr w:rsidR="00F579D9" w:rsidRPr="00DA350E" w:rsidTr="00A50F5F">
        <w:trPr>
          <w:cantSplit/>
          <w:trHeight w:val="1006"/>
        </w:trPr>
        <w:tc>
          <w:tcPr>
            <w:tcW w:w="4673" w:type="dxa"/>
            <w:gridSpan w:val="2"/>
            <w:shd w:val="clear" w:color="auto" w:fill="DEEAF6" w:themeFill="accent1" w:themeFillTint="33"/>
          </w:tcPr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br/>
              <w:t>8</w:t>
            </w:r>
            <w:r w:rsidRPr="00DA350E">
              <w:rPr>
                <w:rFonts w:cstheme="minorHAnsi"/>
                <w:b/>
                <w:bCs/>
                <w:sz w:val="16"/>
                <w:szCs w:val="16"/>
                <w:shd w:val="clear" w:color="auto" w:fill="DEEAF6" w:themeFill="accent1" w:themeFillTint="33"/>
              </w:rPr>
              <w:t>.</w:t>
            </w:r>
            <w:r w:rsidRPr="00DA350E">
              <w:rPr>
                <w:rFonts w:cstheme="minorHAnsi"/>
                <w:sz w:val="16"/>
                <w:szCs w:val="16"/>
                <w:shd w:val="clear" w:color="auto" w:fill="DEEAF6" w:themeFill="accent1" w:themeFillTint="33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4539" w:type="dxa"/>
            <w:gridSpan w:val="2"/>
            <w:shd w:val="clear" w:color="auto" w:fill="auto"/>
          </w:tcPr>
          <w:p w:rsidR="00F579D9" w:rsidRPr="00DA350E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  <w:t xml:space="preserve">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                       </w:t>
            </w:r>
          </w:p>
        </w:tc>
      </w:tr>
      <w:tr w:rsidR="00F579D9" w:rsidRPr="00DA350E" w:rsidTr="00A50F5F">
        <w:trPr>
          <w:cantSplit/>
          <w:trHeight w:val="1246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DA350E" w:rsidRDefault="00611245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9</w:t>
            </w:r>
            <w:r w:rsidR="00F579D9" w:rsidRPr="00DA350E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F579D9" w:rsidRPr="00DA350E">
              <w:rPr>
                <w:rFonts w:cstheme="minorHAnsi"/>
                <w:sz w:val="16"/>
                <w:szCs w:val="16"/>
              </w:rPr>
              <w:t xml:space="preserve"> Powyższa wartość 25% kapitału lub praw głosu została osiągnięta lub przekroczona przez następujących inwestorów:</w:t>
            </w:r>
          </w:p>
          <w:p w:rsidR="00F579D9" w:rsidRPr="00DA350E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0"/>
              </w:tabs>
              <w:spacing w:after="0" w:line="240" w:lineRule="auto"/>
              <w:ind w:left="284" w:hanging="720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>1) publiczne korporacje inwestycyjne, spółki kapitałowe podwyższonego ryzyka, osoby fizyczne lub grupy osób prowadzące regularną działalność inwestycyjną podwyższonego ryzyka, które inwestują w firmy nienotowane na giełdzie, pod warunkiem, że cała kwota inwestycji tych inwestorów w to samo przedsiębiorstwo nie przekroczy 1 250 000 EUR;</w:t>
            </w:r>
          </w:p>
          <w:p w:rsidR="00F579D9" w:rsidRPr="00DA350E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>uczelnie (szkoły wyższe) lub ośrodki badawcze nienastawione na zysk;</w:t>
            </w:r>
          </w:p>
          <w:p w:rsidR="00F579D9" w:rsidRPr="00DA350E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before="100" w:beforeAutospacing="1" w:after="100" w:afterAutospacing="1" w:line="240" w:lineRule="auto"/>
              <w:ind w:hanging="720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 xml:space="preserve">inwestorzy instytucjonalni </w:t>
            </w:r>
            <w:r w:rsidRPr="00DA350E">
              <w:rPr>
                <w:rFonts w:cstheme="minorHAnsi"/>
                <w:sz w:val="16"/>
                <w:szCs w:val="16"/>
                <w:vertAlign w:val="superscript"/>
              </w:rPr>
              <w:endnoteReference w:id="8"/>
            </w:r>
            <w:r w:rsidRPr="00DA350E">
              <w:rPr>
                <w:rFonts w:cstheme="minorHAnsi"/>
                <w:sz w:val="16"/>
                <w:szCs w:val="16"/>
              </w:rPr>
              <w:t>, w tym regionalne fundusze rozwoju;</w:t>
            </w:r>
          </w:p>
          <w:p w:rsidR="00F579D9" w:rsidRPr="00DA350E" w:rsidRDefault="00F579D9" w:rsidP="00151E6C">
            <w:pPr>
              <w:numPr>
                <w:ilvl w:val="0"/>
                <w:numId w:val="1"/>
              </w:numPr>
              <w:shd w:val="clear" w:color="auto" w:fill="DEEAF6" w:themeFill="accent1" w:themeFillTint="33"/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>samorządy lokalne z rocznym budżetem poniżej 10 milionów EUR oraz liczbą mieszkańców poniżej 5 000</w:t>
            </w:r>
          </w:p>
          <w:p w:rsidR="00F579D9" w:rsidRPr="00DA350E" w:rsidRDefault="00F579D9" w:rsidP="00151E6C">
            <w:pPr>
              <w:shd w:val="clear" w:color="auto" w:fill="DEEAF6" w:themeFill="accent1" w:themeFillTint="33"/>
              <w:jc w:val="both"/>
              <w:rPr>
                <w:rFonts w:cstheme="minorHAnsi"/>
                <w:sz w:val="16"/>
                <w:szCs w:val="16"/>
              </w:rPr>
            </w:pPr>
            <w:r w:rsidRPr="00DA350E">
              <w:rPr>
                <w:rFonts w:cstheme="minorHAnsi"/>
                <w:sz w:val="16"/>
                <w:szCs w:val="16"/>
              </w:rPr>
              <w:t xml:space="preserve">- </w:t>
            </w:r>
            <w:r w:rsidRPr="00DA350E">
              <w:rPr>
                <w:rFonts w:cstheme="minorHAnsi"/>
                <w:sz w:val="16"/>
                <w:szCs w:val="16"/>
                <w:u w:val="single"/>
              </w:rPr>
              <w:t xml:space="preserve">i podmioty te nie są powiązane </w:t>
            </w:r>
            <w:r w:rsidRPr="00DA350E">
              <w:rPr>
                <w:rStyle w:val="Odwoanieprzypisukocowego"/>
                <w:rFonts w:cstheme="minorHAnsi"/>
                <w:sz w:val="16"/>
                <w:szCs w:val="16"/>
                <w:u w:val="single"/>
              </w:rPr>
              <w:endnoteReference w:id="9"/>
            </w:r>
            <w:r w:rsidRPr="00DA350E">
              <w:rPr>
                <w:rFonts w:cstheme="minorHAnsi"/>
                <w:sz w:val="16"/>
                <w:szCs w:val="16"/>
                <w:u w:val="single"/>
              </w:rPr>
              <w:t xml:space="preserve">, </w:t>
            </w:r>
            <w:r w:rsidRPr="00DA350E">
              <w:rPr>
                <w:rFonts w:cstheme="minorHAnsi"/>
                <w:sz w:val="16"/>
                <w:szCs w:val="16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2271" w:type="dxa"/>
          </w:tcPr>
          <w:p w:rsidR="00F579D9" w:rsidRPr="00DA350E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  <w:p w:rsidR="00F579D9" w:rsidRPr="00DA350E" w:rsidRDefault="00F579D9" w:rsidP="00151E6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9D9" w:rsidRPr="00DA350E" w:rsidTr="00A50F5F">
        <w:trPr>
          <w:cantSplit/>
          <w:trHeight w:val="753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F579D9" w:rsidRPr="00DA350E" w:rsidRDefault="00611245" w:rsidP="00151E6C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</w:pPr>
            <w:r w:rsidRPr="00DA350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10</w:t>
            </w:r>
            <w:r w:rsidR="00F579D9" w:rsidRPr="00DA350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 xml:space="preserve">. </w:t>
            </w:r>
            <w:r w:rsidR="00F579D9" w:rsidRPr="00DA350E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Przedsiębiorstwa pozostające w jednym ze związków</w:t>
            </w:r>
            <w:r w:rsidR="00F579D9" w:rsidRPr="00DA350E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pl-PL"/>
              </w:rPr>
              <w:t>4a</w:t>
            </w:r>
            <w:r w:rsidR="00F579D9" w:rsidRPr="00DA350E">
              <w:rPr>
                <w:rFonts w:asciiTheme="minorHAnsi" w:hAnsiTheme="minorHAnsi" w:cstheme="minorHAnsi"/>
                <w:color w:val="000000"/>
                <w:sz w:val="16"/>
                <w:szCs w:val="16"/>
                <w:lang w:val="pl-PL"/>
              </w:rPr>
              <w:t>, o których mowa w p.8,  z osobą fizyczną lub grupą osób fizycznych działających wspólnie prowadzą swoją działalność lub jej część na tym samym odpowiadającym rynku lub rynkach pokrewnych.</w:t>
            </w:r>
          </w:p>
        </w:tc>
        <w:tc>
          <w:tcPr>
            <w:tcW w:w="2271" w:type="dxa"/>
          </w:tcPr>
          <w:p w:rsidR="00F579D9" w:rsidRPr="00DA350E" w:rsidRDefault="00F579D9" w:rsidP="00151E6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A350E">
              <w:rPr>
                <w:rFonts w:cstheme="minorHAnsi"/>
                <w:bCs/>
                <w:sz w:val="16"/>
                <w:szCs w:val="16"/>
              </w:rPr>
              <w:br/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TAK                  </w:t>
            </w:r>
            <w:r w:rsidRPr="00DA350E">
              <w:rPr>
                <w:rFonts w:cstheme="minorHAnsi"/>
                <w:bCs/>
                <w:sz w:val="16"/>
                <w:szCs w:val="16"/>
              </w:rPr>
              <w:sym w:font="Wingdings 2" w:char="F0A3"/>
            </w:r>
            <w:r w:rsidRPr="00DA350E">
              <w:rPr>
                <w:rFonts w:cstheme="minorHAnsi"/>
                <w:bCs/>
                <w:sz w:val="16"/>
                <w:szCs w:val="16"/>
              </w:rPr>
              <w:t xml:space="preserve"> NIE</w:t>
            </w:r>
          </w:p>
        </w:tc>
      </w:tr>
    </w:tbl>
    <w:p w:rsidR="00F579D9" w:rsidRPr="00DA350E" w:rsidRDefault="00F579D9" w:rsidP="00F579D9">
      <w:pPr>
        <w:rPr>
          <w:rFonts w:cstheme="minorHAnsi"/>
          <w:sz w:val="16"/>
          <w:szCs w:val="16"/>
        </w:rPr>
      </w:pPr>
    </w:p>
    <w:p w:rsidR="00F579D9" w:rsidRPr="00DA350E" w:rsidRDefault="00F579D9" w:rsidP="00F579D9">
      <w:pPr>
        <w:jc w:val="both"/>
        <w:rPr>
          <w:rFonts w:cstheme="minorHAnsi"/>
          <w:b/>
          <w:bCs/>
          <w:sz w:val="16"/>
          <w:szCs w:val="16"/>
        </w:rPr>
      </w:pPr>
      <w:r w:rsidRPr="00DA350E">
        <w:rPr>
          <w:rFonts w:cstheme="minorHAnsi"/>
          <w:b/>
          <w:bCs/>
          <w:sz w:val="16"/>
          <w:szCs w:val="16"/>
        </w:rPr>
        <w:t xml:space="preserve">UWAGA: </w:t>
      </w:r>
      <w:r w:rsidRPr="00DA350E">
        <w:rPr>
          <w:rFonts w:cstheme="minorHAnsi"/>
          <w:b/>
          <w:bCs/>
          <w:sz w:val="16"/>
          <w:szCs w:val="16"/>
        </w:rPr>
        <w:br/>
        <w:t>w przypadku przedsiębiorstw partnerskich/powiązanych dodatkowo należy dostarczyć dane finansowe oraz informacje o średniorocznym zatrudnieniu za ostatnie 3 lata obrotowe podmiotów pozostających w w/w relacjach z Wnioskodawcą (podpisane zgodnie z reprezentacją poszczególnych podmiotów).</w:t>
      </w:r>
    </w:p>
    <w:p w:rsidR="00F579D9" w:rsidRPr="00DA350E" w:rsidRDefault="00F579D9" w:rsidP="00F579D9">
      <w:pPr>
        <w:rPr>
          <w:rFonts w:cstheme="minorHAnsi"/>
          <w:sz w:val="16"/>
          <w:szCs w:val="16"/>
        </w:rPr>
      </w:pPr>
    </w:p>
    <w:p w:rsidR="00F579D9" w:rsidRPr="00DA350E" w:rsidRDefault="00F579D9" w:rsidP="00F579D9">
      <w:pPr>
        <w:rPr>
          <w:rFonts w:cstheme="minorHAnsi"/>
          <w:sz w:val="20"/>
          <w:szCs w:val="20"/>
        </w:rPr>
      </w:pPr>
      <w:r w:rsidRPr="00DA350E">
        <w:rPr>
          <w:rFonts w:cstheme="minorHAnsi"/>
          <w:sz w:val="20"/>
          <w:szCs w:val="20"/>
        </w:rPr>
        <w:t>Oświadczam, że dane zawarte w niniejszym oświadczeniu są zgodne ze stanem faktycznym.</w:t>
      </w:r>
    </w:p>
    <w:p w:rsidR="00F579D9" w:rsidRPr="00DA350E" w:rsidRDefault="00F579D9" w:rsidP="00F579D9">
      <w:pPr>
        <w:rPr>
          <w:rFonts w:cstheme="minorHAnsi"/>
          <w:sz w:val="16"/>
          <w:szCs w:val="16"/>
        </w:rPr>
      </w:pPr>
      <w:r w:rsidRPr="00DA350E">
        <w:rPr>
          <w:rFonts w:cstheme="minorHAnsi"/>
          <w:sz w:val="16"/>
          <w:szCs w:val="16"/>
        </w:rPr>
        <w:br/>
      </w:r>
    </w:p>
    <w:p w:rsidR="00F579D9" w:rsidRPr="00DA350E" w:rsidRDefault="00F579D9" w:rsidP="00F579D9">
      <w:pPr>
        <w:rPr>
          <w:rFonts w:cstheme="minorHAnsi"/>
          <w:sz w:val="16"/>
          <w:szCs w:val="16"/>
        </w:rPr>
      </w:pPr>
      <w:r w:rsidRPr="00DA350E">
        <w:rPr>
          <w:rFonts w:cstheme="minorHAnsi"/>
          <w:sz w:val="16"/>
          <w:szCs w:val="16"/>
        </w:rPr>
        <w:t>……..………………………..……………………………………….</w:t>
      </w:r>
      <w:r w:rsidRPr="00DA350E">
        <w:rPr>
          <w:rFonts w:cstheme="minorHAnsi"/>
          <w:sz w:val="16"/>
          <w:szCs w:val="16"/>
        </w:rPr>
        <w:tab/>
      </w:r>
      <w:r w:rsidRPr="00DA350E">
        <w:rPr>
          <w:rFonts w:cstheme="minorHAnsi"/>
          <w:sz w:val="16"/>
          <w:szCs w:val="16"/>
        </w:rPr>
        <w:tab/>
      </w:r>
      <w:r w:rsidRPr="00DA350E">
        <w:rPr>
          <w:rFonts w:cstheme="minorHAnsi"/>
          <w:sz w:val="16"/>
          <w:szCs w:val="16"/>
        </w:rPr>
        <w:tab/>
        <w:t xml:space="preserve"> </w:t>
      </w:r>
    </w:p>
    <w:p w:rsidR="00F579D9" w:rsidRPr="00DA350E" w:rsidRDefault="00F579D9" w:rsidP="00F579D9">
      <w:pPr>
        <w:pStyle w:val="Tekstpodstawowy2"/>
        <w:spacing w:after="120"/>
        <w:rPr>
          <w:rFonts w:asciiTheme="minorHAnsi" w:hAnsiTheme="minorHAnsi" w:cstheme="minorHAnsi"/>
          <w:bCs w:val="0"/>
          <w:iCs/>
          <w:color w:val="FF0000"/>
          <w:sz w:val="16"/>
          <w:szCs w:val="16"/>
        </w:rPr>
      </w:pPr>
      <w:r w:rsidRPr="00DA350E">
        <w:rPr>
          <w:rFonts w:asciiTheme="minorHAnsi" w:hAnsiTheme="minorHAnsi" w:cstheme="minorHAnsi"/>
          <w:b w:val="0"/>
          <w:bCs w:val="0"/>
          <w:iCs/>
          <w:sz w:val="16"/>
          <w:szCs w:val="16"/>
        </w:rPr>
        <w:t>(data, podpis i pieczątka osoby upoważnionej</w:t>
      </w:r>
      <w:r w:rsidRPr="00DA350E">
        <w:rPr>
          <w:rFonts w:asciiTheme="minorHAnsi" w:hAnsiTheme="minorHAnsi" w:cstheme="minorHAnsi"/>
          <w:b w:val="0"/>
          <w:bCs w:val="0"/>
          <w:iCs/>
          <w:sz w:val="16"/>
          <w:szCs w:val="16"/>
        </w:rPr>
        <w:br/>
        <w:t>do reprezentowania Wnioskodawcy)</w:t>
      </w:r>
      <w:r w:rsidRPr="00DA350E">
        <w:rPr>
          <w:rFonts w:asciiTheme="minorHAnsi" w:hAnsiTheme="minorHAnsi" w:cstheme="minorHAnsi"/>
          <w:bCs w:val="0"/>
          <w:iCs/>
          <w:sz w:val="16"/>
          <w:szCs w:val="16"/>
        </w:rPr>
        <w:tab/>
      </w:r>
    </w:p>
    <w:p w:rsidR="00F579D9" w:rsidRPr="00DA350E" w:rsidRDefault="00F579D9" w:rsidP="00F579D9">
      <w:pPr>
        <w:ind w:left="5664"/>
        <w:rPr>
          <w:rFonts w:cstheme="minorHAnsi"/>
          <w:sz w:val="16"/>
          <w:szCs w:val="16"/>
        </w:rPr>
      </w:pPr>
      <w:r w:rsidRPr="00DA350E">
        <w:rPr>
          <w:rFonts w:cstheme="minorHAnsi"/>
          <w:sz w:val="16"/>
          <w:szCs w:val="16"/>
        </w:rPr>
        <w:t>Sprawdzono pod względem formalnym i merytorycznym</w:t>
      </w:r>
    </w:p>
    <w:p w:rsidR="00F579D9" w:rsidRPr="00DA350E" w:rsidRDefault="00F579D9" w:rsidP="00F579D9">
      <w:pPr>
        <w:ind w:left="5664"/>
        <w:rPr>
          <w:rFonts w:cstheme="minorHAnsi"/>
          <w:b/>
          <w:bCs/>
          <w:iCs/>
          <w:sz w:val="16"/>
          <w:szCs w:val="16"/>
        </w:rPr>
      </w:pPr>
    </w:p>
    <w:p w:rsidR="00F579D9" w:rsidRPr="00DA350E" w:rsidRDefault="00F579D9" w:rsidP="00F579D9">
      <w:pPr>
        <w:ind w:left="5664"/>
        <w:rPr>
          <w:rFonts w:cstheme="minorHAnsi"/>
          <w:sz w:val="16"/>
          <w:szCs w:val="16"/>
        </w:rPr>
      </w:pPr>
      <w:r w:rsidRPr="00DA350E">
        <w:rPr>
          <w:rFonts w:cstheme="minorHAnsi"/>
          <w:bCs/>
          <w:iCs/>
          <w:sz w:val="16"/>
          <w:szCs w:val="16"/>
        </w:rPr>
        <w:t>data:…………………………………...</w:t>
      </w:r>
    </w:p>
    <w:p w:rsidR="00F579D9" w:rsidRPr="00DA350E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</w:p>
    <w:p w:rsidR="00F579D9" w:rsidRPr="00DA350E" w:rsidRDefault="00F579D9" w:rsidP="00F579D9">
      <w:pPr>
        <w:ind w:left="5664"/>
        <w:rPr>
          <w:rFonts w:cstheme="minorHAnsi"/>
          <w:bCs/>
          <w:iCs/>
          <w:sz w:val="16"/>
          <w:szCs w:val="16"/>
        </w:rPr>
      </w:pPr>
      <w:r w:rsidRPr="00DA350E">
        <w:rPr>
          <w:rFonts w:cstheme="minorHAnsi"/>
          <w:bCs/>
          <w:iCs/>
          <w:sz w:val="16"/>
          <w:szCs w:val="16"/>
        </w:rPr>
        <w:t>podpis:…………………………………..</w:t>
      </w:r>
    </w:p>
    <w:p w:rsidR="00CD7A1D" w:rsidRPr="00DA350E" w:rsidRDefault="00F579D9" w:rsidP="00C83EF2">
      <w:pPr>
        <w:ind w:left="5664"/>
        <w:rPr>
          <w:rFonts w:cstheme="minorHAnsi"/>
        </w:rPr>
      </w:pPr>
      <w:r w:rsidRPr="00DA350E">
        <w:rPr>
          <w:rFonts w:cstheme="minorHAnsi"/>
          <w:bCs/>
          <w:i/>
          <w:iCs/>
          <w:sz w:val="16"/>
          <w:szCs w:val="16"/>
        </w:rPr>
        <w:br/>
      </w:r>
    </w:p>
    <w:sectPr w:rsidR="00CD7A1D" w:rsidRPr="00DA350E" w:rsidSect="00A50F5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169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9F" w:rsidRDefault="003F2F9F" w:rsidP="00F579D9">
      <w:pPr>
        <w:spacing w:after="0" w:line="240" w:lineRule="auto"/>
      </w:pPr>
      <w:r>
        <w:separator/>
      </w:r>
    </w:p>
  </w:endnote>
  <w:endnote w:type="continuationSeparator" w:id="0">
    <w:p w:rsidR="003F2F9F" w:rsidRDefault="003F2F9F" w:rsidP="00F579D9">
      <w:pPr>
        <w:spacing w:after="0" w:line="240" w:lineRule="auto"/>
      </w:pPr>
      <w:r>
        <w:continuationSeparator/>
      </w:r>
    </w:p>
  </w:endnote>
  <w:endnote w:id="1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2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„przedsiębiorstwo samodzielne”</w:t>
      </w:r>
      <w:r w:rsidRPr="00611245">
        <w:rPr>
          <w:rFonts w:ascii="Arial" w:hAnsi="Arial" w:cs="Arial"/>
          <w:sz w:val="14"/>
          <w:szCs w:val="14"/>
        </w:rPr>
        <w:t xml:space="preserve"> uważa się przedsiębiorstwo: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posiada 25% lub więcej 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przedsiębiorstwo nie posiada 25 % lub więcej kapitału lub praw do głosu.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 xml:space="preserve">Przedsiębiorstwo to nie będzie więc przedsiębiorstwem partnerskim lub powiązanym w rozumieniu art. 3 ust. 2 i 3 załącznika I do rozporządzenia Komisji (WE) nr 800/2008 z dnia 6 sierpnia 2008 r. uznającego niektóre rodzaje pomocy za zgodne ze wspólnym rynkiem w zastosowaniu art. 87 i 88  Traktatu (ogólne rozporządzenie w sprawie </w:t>
      </w:r>
      <w:proofErr w:type="spellStart"/>
      <w:r w:rsidRPr="00611245">
        <w:rPr>
          <w:rFonts w:ascii="Arial" w:hAnsi="Arial" w:cs="Arial"/>
          <w:sz w:val="14"/>
          <w:szCs w:val="14"/>
        </w:rPr>
        <w:t>wyłączeń</w:t>
      </w:r>
      <w:proofErr w:type="spellEnd"/>
      <w:r w:rsidRPr="00611245">
        <w:rPr>
          <w:rFonts w:ascii="Arial" w:hAnsi="Arial" w:cs="Arial"/>
          <w:sz w:val="14"/>
          <w:szCs w:val="14"/>
        </w:rPr>
        <w:t xml:space="preserve">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3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Za </w:t>
      </w:r>
      <w:r w:rsidRPr="00611245">
        <w:rPr>
          <w:rFonts w:ascii="Arial" w:hAnsi="Arial" w:cs="Arial"/>
          <w:b/>
          <w:bCs/>
          <w:sz w:val="14"/>
          <w:szCs w:val="14"/>
        </w:rPr>
        <w:t>„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przedsiębiorstwa partnerskie”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przedsiębiorstwa: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które posiadają 25 % lub więcej </w:t>
      </w:r>
      <w:r w:rsidRPr="00611245">
        <w:rPr>
          <w:rFonts w:ascii="Arial" w:hAnsi="Arial" w:cs="Arial"/>
          <w:sz w:val="14"/>
          <w:szCs w:val="14"/>
        </w:rPr>
        <w:t>kapitału lub praw głosu w innym przedsiębiorstwie lub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w którym inne przedsiębiorstwa posiadają 25 % lub więcej kapitału lub praw głosu oraz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</w:rPr>
        <w:t>które nie są przedsiębiorstwami powiązanymi z innymi przedsiębiorstwami.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611245">
        <w:rPr>
          <w:rFonts w:ascii="Arial" w:hAnsi="Arial" w:cs="Arial"/>
          <w:color w:val="000000"/>
          <w:sz w:val="14"/>
          <w:szCs w:val="14"/>
        </w:rPr>
        <w:t>przedsiębiorstwo (typu „</w:t>
      </w:r>
      <w:proofErr w:type="spellStart"/>
      <w:r w:rsidRPr="00611245">
        <w:rPr>
          <w:rFonts w:ascii="Arial" w:hAnsi="Arial" w:cs="Arial"/>
          <w:color w:val="000000"/>
          <w:sz w:val="14"/>
          <w:szCs w:val="14"/>
        </w:rPr>
        <w:t>upstream</w:t>
      </w:r>
      <w:proofErr w:type="spellEnd"/>
      <w:r w:rsidRPr="00611245">
        <w:rPr>
          <w:rFonts w:ascii="Arial" w:hAnsi="Arial" w:cs="Arial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611245">
        <w:rPr>
          <w:rFonts w:ascii="Arial" w:hAnsi="Arial" w:cs="Arial"/>
          <w:color w:val="000000"/>
          <w:sz w:val="14"/>
          <w:szCs w:val="14"/>
        </w:rPr>
        <w:t>downstream</w:t>
      </w:r>
      <w:proofErr w:type="spellEnd"/>
      <w:r w:rsidRPr="00611245">
        <w:rPr>
          <w:rFonts w:ascii="Arial" w:hAnsi="Arial" w:cs="Arial"/>
          <w:color w:val="000000"/>
          <w:sz w:val="14"/>
          <w:szCs w:val="14"/>
        </w:rPr>
        <w:t xml:space="preserve">”).  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4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b/>
          <w:bCs/>
          <w:sz w:val="14"/>
          <w:szCs w:val="14"/>
        </w:rPr>
        <w:t xml:space="preserve"> „Przedsiębiorstwa powiązane” </w:t>
      </w:r>
      <w:r w:rsidRPr="00611245">
        <w:rPr>
          <w:rFonts w:ascii="Arial" w:hAnsi="Arial" w:cs="Arial"/>
          <w:sz w:val="14"/>
          <w:szCs w:val="14"/>
        </w:rPr>
        <w:t>oznaczają przedsiębiorstwa, które pozostają w jednym z poniższych związków: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posiada większość praw głosu w roli udziałowca/akcjonariusza lub członka w innym przedsiębiorstwie;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wyznaczyć lub odwołać większość członków organu administracyjnego, zarządzającego lub nadzorczego innego przedsiębiorstwa;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ma prawo wywierać dominujący wpływ na inne przedsiębiorstwo zgodnie z umową zawartą z tym przedsiębiorstwem lub postanowieniami w jego statucie lub umowie spółki;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5"/>
        </w:numPr>
        <w:tabs>
          <w:tab w:val="clear" w:pos="8789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360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 xml:space="preserve">4a  </w:t>
      </w:r>
      <w:r w:rsidRPr="00611245">
        <w:rPr>
          <w:rFonts w:ascii="Arial" w:hAnsi="Arial" w:cs="Arial"/>
          <w:color w:val="000000"/>
          <w:sz w:val="14"/>
          <w:szCs w:val="14"/>
        </w:rPr>
        <w:t>Za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 xml:space="preserve"> „przedsiębiorstwa powiązane”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uważa się przedsiębiorstwa pozostające we wskazanym powyżej związku z: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color w:val="000000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jednym lub kilkoma przedsiębiorstwami,</w:t>
      </w:r>
    </w:p>
    <w:p w:rsidR="00F579D9" w:rsidRPr="00611245" w:rsidRDefault="00F579D9" w:rsidP="00F579D9">
      <w:pPr>
        <w:pStyle w:val="Tekstprzypisukocowego"/>
        <w:numPr>
          <w:ilvl w:val="2"/>
          <w:numId w:val="3"/>
        </w:numPr>
        <w:tabs>
          <w:tab w:val="clear" w:pos="2340"/>
        </w:tabs>
        <w:ind w:left="1134"/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podmiotami, o których mowa w pkt 8 oświadczenia, </w:t>
      </w:r>
    </w:p>
    <w:p w:rsidR="00F579D9" w:rsidRPr="00611245" w:rsidRDefault="00F579D9" w:rsidP="00F579D9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clear" w:pos="8789"/>
        </w:tabs>
        <w:ind w:left="1134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osobą fizyczną lub grupą osób fizycznych działających wspólnie, jeżeli wykonują swoją działalność lub część swojej działalności na tym samym odpowiadającym rynku lub rynku pokrewnym.,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sz w:val="14"/>
          <w:szCs w:val="14"/>
          <w:lang w:val="pl-PL"/>
        </w:rPr>
        <w:t>Za „</w:t>
      </w:r>
      <w:r w:rsidRPr="00611245">
        <w:rPr>
          <w:b/>
          <w:bCs/>
          <w:sz w:val="14"/>
          <w:szCs w:val="14"/>
          <w:lang w:val="pl-PL"/>
        </w:rPr>
        <w:t>rynek pokrewny</w:t>
      </w:r>
      <w:r w:rsidRPr="00611245">
        <w:rPr>
          <w:sz w:val="14"/>
          <w:szCs w:val="14"/>
          <w:lang w:val="pl-PL"/>
        </w:rPr>
        <w:t xml:space="preserve">” uważa się rynek dla danego produktu lub usługi znajdujący się bezpośrednio na poziomie </w:t>
      </w:r>
      <w:proofErr w:type="spellStart"/>
      <w:r w:rsidRPr="00611245">
        <w:rPr>
          <w:sz w:val="14"/>
          <w:szCs w:val="14"/>
          <w:lang w:val="pl-PL"/>
        </w:rPr>
        <w:t>upstream</w:t>
      </w:r>
      <w:proofErr w:type="spellEnd"/>
      <w:r w:rsidRPr="00611245">
        <w:rPr>
          <w:sz w:val="14"/>
          <w:szCs w:val="14"/>
          <w:lang w:val="pl-PL"/>
        </w:rPr>
        <w:t xml:space="preserve"> lub </w:t>
      </w:r>
      <w:proofErr w:type="spellStart"/>
      <w:r w:rsidRPr="00611245">
        <w:rPr>
          <w:sz w:val="14"/>
          <w:szCs w:val="14"/>
          <w:lang w:val="pl-PL"/>
        </w:rPr>
        <w:t>downstream</w:t>
      </w:r>
      <w:proofErr w:type="spellEnd"/>
      <w:r w:rsidRPr="00611245">
        <w:rPr>
          <w:sz w:val="14"/>
          <w:szCs w:val="14"/>
          <w:lang w:val="pl-PL"/>
        </w:rPr>
        <w:t xml:space="preserve"> w stosunku do odpowiedniego rynku.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5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przypadku, gdy Wnioskodawca pozostaje z innym przedsiębiorcą w związku przedsiębiorstw partnerskich bądź powiązanych, dokonuje on obliczenia odpowiednio </w:t>
      </w:r>
      <w:r w:rsidRPr="00611245">
        <w:rPr>
          <w:rFonts w:ascii="Arial" w:hAnsi="Arial" w:cs="Arial"/>
          <w:b/>
          <w:bCs/>
          <w:sz w:val="14"/>
          <w:szCs w:val="14"/>
        </w:rPr>
        <w:t>skumulowanych danych tych przedsiębiorców ze swoimi danymi</w:t>
      </w:r>
      <w:r w:rsidRPr="00611245">
        <w:rPr>
          <w:rFonts w:ascii="Arial" w:hAnsi="Arial" w:cs="Arial"/>
          <w:sz w:val="14"/>
          <w:szCs w:val="14"/>
        </w:rPr>
        <w:t xml:space="preserve">, zgodnie z rozporządzeniem Komisji (WE) nr 800/2008 z dnia 6 sierpnia 2008 r. uznającego niektóre rodzaje pomocy za zgodne ze wspólnym rynkiem w zastosowaniu art. 87 i 88  Traktatu (ogólne rozporządzenie w sprawie </w:t>
      </w:r>
      <w:proofErr w:type="spellStart"/>
      <w:r w:rsidRPr="00611245">
        <w:rPr>
          <w:rFonts w:ascii="Arial" w:hAnsi="Arial" w:cs="Arial"/>
          <w:sz w:val="14"/>
          <w:szCs w:val="14"/>
        </w:rPr>
        <w:t>wyłączeń</w:t>
      </w:r>
      <w:proofErr w:type="spellEnd"/>
      <w:r w:rsidRPr="00611245">
        <w:rPr>
          <w:rFonts w:ascii="Arial" w:hAnsi="Arial" w:cs="Arial"/>
          <w:sz w:val="14"/>
          <w:szCs w:val="14"/>
        </w:rPr>
        <w:t xml:space="preserve"> blokowych)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color w:val="000000"/>
          <w:sz w:val="14"/>
          <w:szCs w:val="14"/>
        </w:rPr>
      </w:pPr>
    </w:p>
    <w:p w:rsidR="00F579D9" w:rsidRPr="00611245" w:rsidRDefault="00F579D9" w:rsidP="00F579D9">
      <w:pPr>
        <w:pStyle w:val="Tekstprzypisukocowego"/>
        <w:ind w:left="709" w:hanging="349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-   W przypadku przedsiębiorstwa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samodzielnego</w:t>
      </w:r>
      <w:r w:rsidRPr="00611245">
        <w:rPr>
          <w:rFonts w:ascii="Arial" w:hAnsi="Arial" w:cs="Arial"/>
          <w:color w:val="000000"/>
          <w:sz w:val="14"/>
          <w:szCs w:val="14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partnerskich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F579D9" w:rsidRPr="00611245" w:rsidRDefault="00F579D9" w:rsidP="00F579D9">
      <w:pPr>
        <w:pStyle w:val="Tekstprzypisukocowego"/>
        <w:numPr>
          <w:ilvl w:val="0"/>
          <w:numId w:val="2"/>
        </w:numPr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 xml:space="preserve">W przypadku przedsiębiorstw </w:t>
      </w:r>
      <w:r w:rsidRPr="00611245">
        <w:rPr>
          <w:rFonts w:ascii="Arial" w:hAnsi="Arial" w:cs="Arial"/>
          <w:b/>
          <w:bCs/>
          <w:color w:val="000000"/>
          <w:sz w:val="14"/>
          <w:szCs w:val="14"/>
        </w:rPr>
        <w:t>powiązanych</w:t>
      </w:r>
      <w:r w:rsidRPr="00611245">
        <w:rPr>
          <w:rFonts w:ascii="Arial" w:hAnsi="Arial" w:cs="Arial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4"/>
          <w:szCs w:val="14"/>
          <w:lang w:val="pl-PL"/>
        </w:rPr>
      </w:pP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Dane, które będą stosowane przy określaniu liczby personelu i kwot finansowych są to dane odnoszące się do zamkniętych okresów obrachunkowych i są obliczone na podstawie rocznej. Są one brane pod uwagę od dnia zamknięcia ksiąg rachunkowych. Kwota wybrana na obrót jest obliczana bez uwzględniania podatku VAT.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b/>
          <w:bCs/>
          <w:sz w:val="14"/>
          <w:szCs w:val="14"/>
        </w:rPr>
      </w:pPr>
      <w:r w:rsidRPr="00611245">
        <w:rPr>
          <w:rFonts w:ascii="Arial" w:hAnsi="Arial" w:cs="Arial"/>
          <w:color w:val="000000"/>
          <w:sz w:val="14"/>
          <w:szCs w:val="14"/>
        </w:rPr>
        <w:t>W przypadku nowoutworzonych przedsiębiorstw, których księgi rachunkowe jeszcze nie zostały zamknięte dane, które mają zastosowanie pochodzą z oceny dokonanej w dobrej wierze zgodnie z najlepszą praktyką w trakcie roku obrachunkowego.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</w:endnote>
  <w:endnote w:id="6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</w:t>
      </w:r>
      <w:r w:rsidRPr="00611245">
        <w:rPr>
          <w:b/>
          <w:bCs/>
          <w:color w:val="000000"/>
          <w:sz w:val="14"/>
          <w:szCs w:val="14"/>
          <w:lang w:val="pl-PL"/>
        </w:rPr>
        <w:t>Liczba zatrudnionych</w:t>
      </w:r>
      <w:r w:rsidRPr="00611245">
        <w:rPr>
          <w:color w:val="000000"/>
          <w:sz w:val="14"/>
          <w:szCs w:val="14"/>
          <w:lang w:val="pl-PL"/>
        </w:rPr>
        <w:t xml:space="preserve">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 niepełnym wymiarze godzin lub pracowników sezonowych jest obliczana jako część ułamkowa RJR. Personel składa się z: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pracowników;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osób pracujących dla przedsiębiorstwa, podlegających mu i uważanych za pracowników na mocy  przepisów prawa krajowego;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</w:tabs>
        <w:ind w:hanging="436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właścicieli – kierowników;</w:t>
      </w:r>
    </w:p>
    <w:p w:rsidR="00F579D9" w:rsidRPr="00611245" w:rsidRDefault="00F579D9" w:rsidP="00F579D9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  <w:tab w:val="left" w:pos="1134"/>
          <w:tab w:val="left" w:pos="1701"/>
          <w:tab w:val="left" w:pos="2268"/>
        </w:tabs>
        <w:ind w:left="567" w:hanging="283"/>
        <w:rPr>
          <w:color w:val="000000"/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partnerów prowadzących regularną działalność w przedsiębiorstwie i czerpiących z niego korzyści  finansowe.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color w:val="000000"/>
          <w:sz w:val="14"/>
          <w:szCs w:val="14"/>
          <w:lang w:val="pl-PL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7"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  <w:lang w:val="pl-PL"/>
        </w:rPr>
      </w:pPr>
      <w:r w:rsidRPr="00611245">
        <w:rPr>
          <w:rStyle w:val="Odwoanieprzypisukocowego"/>
          <w:rFonts w:cs="Arial"/>
          <w:sz w:val="14"/>
          <w:szCs w:val="14"/>
        </w:rPr>
        <w:endnoteRef/>
      </w:r>
      <w:r w:rsidRPr="00611245">
        <w:rPr>
          <w:sz w:val="14"/>
          <w:szCs w:val="14"/>
          <w:lang w:val="pl-PL"/>
        </w:rPr>
        <w:t xml:space="preserve"> W rozumieniu przepisów IV Dyrektywy Rady z dnia 25 lipca 1978 r. wydanej na podstawie art. 54 ust. 3 lit. g) Traktatu, w sprawie nowych sprawozdań finansowych niektórych rodzajów spółek (78/660/EWC)</w:t>
      </w:r>
    </w:p>
    <w:p w:rsidR="00F579D9" w:rsidRPr="00611245" w:rsidRDefault="00F579D9" w:rsidP="00F579D9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4"/>
          <w:szCs w:val="14"/>
        </w:rPr>
      </w:pPr>
    </w:p>
  </w:endnote>
  <w:endnote w:id="8"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  <w:r w:rsidRPr="00611245">
        <w:rPr>
          <w:rFonts w:ascii="Arial" w:hAnsi="Arial" w:cs="Arial"/>
          <w:sz w:val="14"/>
          <w:szCs w:val="14"/>
          <w:vertAlign w:val="superscript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 W tej kategorii mieścić się będą np. fundusze inwestycyjne, fundusze emerytalne.</w:t>
      </w:r>
    </w:p>
    <w:p w:rsidR="00F579D9" w:rsidRPr="00611245" w:rsidRDefault="00F579D9" w:rsidP="00F579D9">
      <w:pPr>
        <w:jc w:val="both"/>
        <w:rPr>
          <w:rFonts w:ascii="Arial" w:hAnsi="Arial" w:cs="Arial"/>
          <w:sz w:val="14"/>
          <w:szCs w:val="14"/>
        </w:rPr>
      </w:pPr>
    </w:p>
  </w:endnote>
  <w:endnote w:id="9"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  <w:r w:rsidRPr="00611245">
        <w:rPr>
          <w:rStyle w:val="Odwoanieprzypisukocowego"/>
          <w:rFonts w:ascii="Arial" w:hAnsi="Arial" w:cs="Arial"/>
          <w:sz w:val="14"/>
          <w:szCs w:val="14"/>
        </w:rPr>
        <w:endnoteRef/>
      </w:r>
      <w:r w:rsidRPr="00611245">
        <w:rPr>
          <w:rFonts w:ascii="Arial" w:hAnsi="Arial" w:cs="Arial"/>
          <w:sz w:val="14"/>
          <w:szCs w:val="14"/>
        </w:rPr>
        <w:t xml:space="preserve"> W rozumieniu art. 3 ust. 3 załącznika I do rozporządzenia Komisji (WE) nr 800/2008 z dnia 6 sierpnia 2008 r. uznającego niektóre rodzaje pomocy za zgodne ze wspólnym rynkiem w zastosowaniu art. 87 i 88  Traktatu (ogólne rozporządzenie w sprawie </w:t>
      </w:r>
      <w:proofErr w:type="spellStart"/>
      <w:r w:rsidRPr="00611245">
        <w:rPr>
          <w:rFonts w:ascii="Arial" w:hAnsi="Arial" w:cs="Arial"/>
          <w:sz w:val="14"/>
          <w:szCs w:val="14"/>
        </w:rPr>
        <w:t>wyłączeń</w:t>
      </w:r>
      <w:proofErr w:type="spellEnd"/>
      <w:r w:rsidRPr="00611245">
        <w:rPr>
          <w:rFonts w:ascii="Arial" w:hAnsi="Arial" w:cs="Arial"/>
          <w:sz w:val="14"/>
          <w:szCs w:val="14"/>
        </w:rPr>
        <w:t xml:space="preserve"> blokowych).</w:t>
      </w: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  <w:sz w:val="14"/>
          <w:szCs w:val="14"/>
        </w:rPr>
      </w:pPr>
    </w:p>
    <w:p w:rsidR="00F579D9" w:rsidRPr="00611245" w:rsidRDefault="00F579D9" w:rsidP="00F579D9">
      <w:pPr>
        <w:pStyle w:val="Tekstprzypisukocowego"/>
        <w:jc w:val="both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6B" w:rsidRDefault="00AA1849" w:rsidP="00F6266B">
    <w:pPr>
      <w:pStyle w:val="NumberList"/>
      <w:jc w:val="right"/>
    </w:pPr>
    <w:r>
      <w:tab/>
    </w:r>
    <w:r>
      <w:tab/>
    </w:r>
    <w:r>
      <w:tab/>
    </w:r>
    <w:r>
      <w:tab/>
      <w:t xml:space="preserve">     </w:t>
    </w:r>
    <w:r w:rsidR="00A50F5F">
      <w:t xml:space="preserve">       </w:t>
    </w:r>
    <w:r>
      <w:t xml:space="preserve"> </w:t>
    </w:r>
    <w:r w:rsidR="00F6266B">
      <w:fldChar w:fldCharType="begin"/>
    </w:r>
    <w:r w:rsidR="00F6266B">
      <w:instrText xml:space="preserve"> PAGE </w:instrText>
    </w:r>
    <w:r w:rsidR="00F6266B">
      <w:fldChar w:fldCharType="separate"/>
    </w:r>
    <w:r w:rsidR="00DA350E">
      <w:rPr>
        <w:noProof/>
      </w:rPr>
      <w:t>3</w:t>
    </w:r>
    <w:r w:rsidR="00F6266B">
      <w:fldChar w:fldCharType="end"/>
    </w:r>
  </w:p>
  <w:p w:rsidR="00A7524F" w:rsidRDefault="003F2F9F" w:rsidP="00A50F5F">
    <w:pPr>
      <w:pStyle w:val="Stopka"/>
      <w:tabs>
        <w:tab w:val="clear" w:pos="9072"/>
      </w:tabs>
      <w:ind w:right="-3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F2" w:rsidRDefault="00DA350E" w:rsidP="00A50F5F">
    <w:pPr>
      <w:pStyle w:val="Stopka"/>
      <w:ind w:left="-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669925</wp:posOffset>
          </wp:positionH>
          <wp:positionV relativeFrom="paragraph">
            <wp:posOffset>10172700</wp:posOffset>
          </wp:positionV>
          <wp:extent cx="5660390" cy="3054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669925</wp:posOffset>
          </wp:positionH>
          <wp:positionV relativeFrom="paragraph">
            <wp:posOffset>10172700</wp:posOffset>
          </wp:positionV>
          <wp:extent cx="5660390" cy="3054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245">
      <w:t xml:space="preserve">                                                              </w:t>
    </w:r>
    <w:r w:rsidRPr="004E43B0">
      <w:rPr>
        <w:rStyle w:val="Odwoanieprzypisudolnego"/>
        <w:noProof/>
        <w:sz w:val="18"/>
        <w:szCs w:val="18"/>
      </w:rPr>
      <w:drawing>
        <wp:inline distT="0" distB="0" distL="0" distR="0">
          <wp:extent cx="5918200" cy="313715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245">
      <w:t xml:space="preserve">                        </w:t>
    </w:r>
    <w:r w:rsidR="00A50F5F">
      <w:t xml:space="preserve">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9F" w:rsidRDefault="003F2F9F" w:rsidP="00F579D9">
      <w:pPr>
        <w:spacing w:after="0" w:line="240" w:lineRule="auto"/>
      </w:pPr>
      <w:r>
        <w:separator/>
      </w:r>
    </w:p>
  </w:footnote>
  <w:footnote w:type="continuationSeparator" w:id="0">
    <w:p w:rsidR="003F2F9F" w:rsidRDefault="003F2F9F" w:rsidP="00F5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F1" w:rsidRDefault="00DA350E" w:rsidP="00611245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4460875</wp:posOffset>
          </wp:positionH>
          <wp:positionV relativeFrom="topMargin">
            <wp:posOffset>332740</wp:posOffset>
          </wp:positionV>
          <wp:extent cx="1854200" cy="695325"/>
          <wp:effectExtent l="0" t="0" r="0" b="9525"/>
          <wp:wrapSquare wrapText="bothSides"/>
          <wp:docPr id="6" name="Obraz 6" descr="logo Fundusz W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 W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B73817"/>
    <w:multiLevelType w:val="multilevel"/>
    <w:tmpl w:val="0B8C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9"/>
    <w:rsid w:val="000A34E7"/>
    <w:rsid w:val="00107AD5"/>
    <w:rsid w:val="003F2F9F"/>
    <w:rsid w:val="004201D5"/>
    <w:rsid w:val="00443C8F"/>
    <w:rsid w:val="005C6C8F"/>
    <w:rsid w:val="00602199"/>
    <w:rsid w:val="00611245"/>
    <w:rsid w:val="00662BF2"/>
    <w:rsid w:val="009032BE"/>
    <w:rsid w:val="00A50F5F"/>
    <w:rsid w:val="00AA1849"/>
    <w:rsid w:val="00BB6367"/>
    <w:rsid w:val="00BC794F"/>
    <w:rsid w:val="00C83EF2"/>
    <w:rsid w:val="00CD7A1D"/>
    <w:rsid w:val="00CF2409"/>
    <w:rsid w:val="00DA350E"/>
    <w:rsid w:val="00F579D9"/>
    <w:rsid w:val="00F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3D5CC-F5E6-46EF-A183-4E6456F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9D9"/>
  </w:style>
  <w:style w:type="paragraph" w:styleId="Nagwek1">
    <w:name w:val="heading 1"/>
    <w:basedOn w:val="Normalny"/>
    <w:next w:val="Normalny"/>
    <w:link w:val="Nagwek1Znak"/>
    <w:uiPriority w:val="99"/>
    <w:qFormat/>
    <w:rsid w:val="00F57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579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9D9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9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F579D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79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579D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579D9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579D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79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9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8F"/>
    <w:rPr>
      <w:rFonts w:ascii="Segoe UI" w:hAnsi="Segoe UI" w:cs="Segoe UI"/>
      <w:sz w:val="18"/>
      <w:szCs w:val="18"/>
    </w:rPr>
  </w:style>
  <w:style w:type="paragraph" w:customStyle="1" w:styleId="NumberList">
    <w:name w:val="Number List"/>
    <w:rsid w:val="00F6266B"/>
    <w:pPr>
      <w:widowControl w:val="0"/>
      <w:suppressAutoHyphens/>
      <w:spacing w:after="0" w:line="240" w:lineRule="auto"/>
      <w:ind w:left="720"/>
    </w:pPr>
    <w:rPr>
      <w:rFonts w:ascii="TimesNewRomanPS" w:eastAsia="Times New Roman" w:hAnsi="TimesNewRomanPS" w:cs="TimesNewRomanPS"/>
      <w:color w:val="000000"/>
      <w:szCs w:val="20"/>
      <w:lang w:eastAsia="zh-CN"/>
    </w:rPr>
  </w:style>
  <w:style w:type="character" w:styleId="Uwydatnienie">
    <w:name w:val="Emphasis"/>
    <w:basedOn w:val="Domylnaczcionkaakapitu"/>
    <w:rsid w:val="00611245"/>
    <w:rPr>
      <w:i/>
      <w:iCs/>
    </w:rPr>
  </w:style>
  <w:style w:type="paragraph" w:styleId="Akapitzlist">
    <w:name w:val="List Paragraph"/>
    <w:basedOn w:val="Normalny"/>
    <w:rsid w:val="00611245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DA3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Panasiuk</dc:creator>
  <cp:keywords/>
  <dc:description/>
  <cp:lastModifiedBy>Agnieszka Panasiuk</cp:lastModifiedBy>
  <cp:revision>12</cp:revision>
  <cp:lastPrinted>2018-10-22T07:32:00Z</cp:lastPrinted>
  <dcterms:created xsi:type="dcterms:W3CDTF">2018-10-21T11:36:00Z</dcterms:created>
  <dcterms:modified xsi:type="dcterms:W3CDTF">2019-07-24T15:27:00Z</dcterms:modified>
</cp:coreProperties>
</file>